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02E3" w:rsidRPr="008177A6" w:rsidRDefault="00E85872" w:rsidP="00D55790">
      <w:pPr>
        <w:jc w:val="center"/>
        <w:rPr>
          <w:rFonts w:ascii="微软雅黑" w:eastAsia="微软雅黑" w:hAnsi="微软雅黑" w:cs="Arial"/>
          <w:b/>
          <w:color w:val="0070C0"/>
          <w:sz w:val="28"/>
          <w:szCs w:val="28"/>
        </w:rPr>
      </w:pPr>
      <w:r w:rsidRPr="008177A6">
        <w:rPr>
          <w:rFonts w:ascii="微软雅黑" w:eastAsia="微软雅黑" w:hAnsi="微软雅黑" w:cs="Times New Roman"/>
          <w:b/>
          <w:noProof/>
          <w:color w:val="0070C0"/>
          <w:sz w:val="28"/>
          <w:szCs w:val="28"/>
        </w:rPr>
        <w:drawing>
          <wp:anchor distT="0" distB="0" distL="114300" distR="114300" simplePos="0" relativeHeight="251660288" behindDoc="1" locked="0" layoutInCell="1" allowOverlap="1">
            <wp:simplePos x="0" y="0"/>
            <wp:positionH relativeFrom="column">
              <wp:posOffset>-911860</wp:posOffset>
            </wp:positionH>
            <wp:positionV relativeFrom="paragraph">
              <wp:posOffset>-744855</wp:posOffset>
            </wp:positionV>
            <wp:extent cx="7981950" cy="371475"/>
            <wp:effectExtent l="19050" t="0" r="0" b="0"/>
            <wp:wrapNone/>
            <wp:docPr id="4" name="图片 1"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8" cstate="print"/>
                    <a:stretch>
                      <a:fillRect/>
                    </a:stretch>
                  </pic:blipFill>
                  <pic:spPr>
                    <a:xfrm>
                      <a:off x="0" y="0"/>
                      <a:ext cx="7981950" cy="371475"/>
                    </a:xfrm>
                    <a:prstGeom prst="rect">
                      <a:avLst/>
                    </a:prstGeom>
                  </pic:spPr>
                </pic:pic>
              </a:graphicData>
            </a:graphic>
          </wp:anchor>
        </w:drawing>
      </w:r>
      <w:r w:rsidR="008177A6" w:rsidRPr="008177A6">
        <w:rPr>
          <w:rFonts w:ascii="微软雅黑" w:eastAsia="微软雅黑" w:hAnsi="微软雅黑" w:cs="Arial" w:hint="eastAsia"/>
          <w:b/>
          <w:color w:val="0070C0"/>
          <w:sz w:val="28"/>
          <w:szCs w:val="28"/>
        </w:rPr>
        <w:t>欧星HC系列反击式破碎机</w:t>
      </w:r>
    </w:p>
    <w:p w:rsidR="003524B8" w:rsidRPr="00753E70" w:rsidRDefault="008177A6" w:rsidP="00753E70">
      <w:pPr>
        <w:jc w:val="center"/>
        <w:rPr>
          <w:b/>
          <w:color w:val="E36C0A" w:themeColor="accent6" w:themeShade="BF"/>
          <w:sz w:val="28"/>
          <w:szCs w:val="28"/>
        </w:rPr>
      </w:pPr>
      <w:r w:rsidRPr="008177A6">
        <w:rPr>
          <w:b/>
          <w:color w:val="E36C0A" w:themeColor="accent6" w:themeShade="BF"/>
          <w:sz w:val="28"/>
          <w:szCs w:val="28"/>
        </w:rPr>
        <w:t>HC Series Impact Crusher</w:t>
      </w:r>
    </w:p>
    <w:p w:rsidR="00D5042A" w:rsidRPr="006674FD" w:rsidRDefault="00D5042A" w:rsidP="00753E70">
      <w:pPr>
        <w:jc w:val="left"/>
        <w:rPr>
          <w:rFonts w:ascii="微软雅黑" w:eastAsia="微软雅黑" w:hAnsi="微软雅黑" w:cs="Arial"/>
          <w:b/>
          <w:color w:val="E36C0A" w:themeColor="accent6" w:themeShade="BF"/>
          <w:szCs w:val="21"/>
        </w:rPr>
      </w:pPr>
      <w:r w:rsidRPr="006674FD">
        <w:rPr>
          <w:rFonts w:ascii="微软雅黑" w:eastAsia="微软雅黑" w:hAnsi="微软雅黑" w:cs="Arial" w:hint="eastAsia"/>
          <w:b/>
          <w:color w:val="0070C0"/>
          <w:szCs w:val="21"/>
        </w:rPr>
        <w:t xml:space="preserve">产量更高              </w:t>
      </w:r>
      <w:r w:rsidRPr="006674FD">
        <w:rPr>
          <w:rFonts w:ascii="微软雅黑" w:eastAsia="微软雅黑" w:hAnsi="微软雅黑" w:cs="Arial"/>
          <w:b/>
          <w:color w:val="E36C0A" w:themeColor="accent6" w:themeShade="BF"/>
          <w:szCs w:val="21"/>
        </w:rPr>
        <w:t>Higher Capacity</w:t>
      </w:r>
    </w:p>
    <w:p w:rsidR="00D5042A" w:rsidRPr="006674FD" w:rsidRDefault="00D5042A" w:rsidP="00D55790">
      <w:pPr>
        <w:jc w:val="left"/>
        <w:rPr>
          <w:rFonts w:ascii="微软雅黑" w:eastAsia="微软雅黑" w:hAnsi="微软雅黑" w:cs="Arial"/>
          <w:b/>
          <w:color w:val="E36C0A" w:themeColor="accent6" w:themeShade="BF"/>
          <w:szCs w:val="21"/>
        </w:rPr>
      </w:pPr>
      <w:r w:rsidRPr="006674FD">
        <w:rPr>
          <w:rFonts w:ascii="微软雅黑" w:eastAsia="微软雅黑" w:hAnsi="微软雅黑" w:cs="Arial" w:hint="eastAsia"/>
          <w:b/>
          <w:color w:val="0070C0"/>
          <w:szCs w:val="21"/>
        </w:rPr>
        <w:t xml:space="preserve">运行成本更低         </w:t>
      </w:r>
      <w:r w:rsidRPr="006674FD">
        <w:rPr>
          <w:rFonts w:ascii="微软雅黑" w:eastAsia="微软雅黑" w:hAnsi="微软雅黑" w:cs="Arial" w:hint="eastAsia"/>
          <w:b/>
          <w:color w:val="E36C0A" w:themeColor="accent6" w:themeShade="BF"/>
          <w:szCs w:val="21"/>
        </w:rPr>
        <w:t xml:space="preserve"> </w:t>
      </w:r>
      <w:r w:rsidRPr="006674FD">
        <w:rPr>
          <w:rFonts w:ascii="微软雅黑" w:eastAsia="微软雅黑" w:hAnsi="微软雅黑" w:cs="Arial"/>
          <w:b/>
          <w:color w:val="E36C0A" w:themeColor="accent6" w:themeShade="BF"/>
          <w:szCs w:val="21"/>
        </w:rPr>
        <w:t>Lower Operation Cost</w:t>
      </w:r>
    </w:p>
    <w:p w:rsidR="00A302E3" w:rsidRPr="006674FD" w:rsidRDefault="00D5042A" w:rsidP="00D55790">
      <w:pPr>
        <w:jc w:val="left"/>
        <w:rPr>
          <w:rFonts w:ascii="微软雅黑" w:eastAsia="微软雅黑" w:hAnsi="微软雅黑" w:cs="Arial"/>
          <w:b/>
          <w:color w:val="E36C0A" w:themeColor="accent6" w:themeShade="BF"/>
          <w:szCs w:val="21"/>
        </w:rPr>
      </w:pPr>
      <w:r w:rsidRPr="006674FD">
        <w:rPr>
          <w:rFonts w:ascii="微软雅黑" w:eastAsia="微软雅黑" w:hAnsi="微软雅黑" w:cs="Arial" w:hint="eastAsia"/>
          <w:b/>
          <w:color w:val="0070C0"/>
          <w:szCs w:val="21"/>
        </w:rPr>
        <w:t xml:space="preserve">创造更大价值          </w:t>
      </w:r>
      <w:r w:rsidRPr="006674FD">
        <w:rPr>
          <w:rFonts w:ascii="微软雅黑" w:eastAsia="微软雅黑" w:hAnsi="微软雅黑" w:cs="Arial"/>
          <w:b/>
          <w:color w:val="E36C0A" w:themeColor="accent6" w:themeShade="BF"/>
          <w:szCs w:val="21"/>
        </w:rPr>
        <w:t xml:space="preserve">Larger </w:t>
      </w:r>
      <w:proofErr w:type="spellStart"/>
      <w:r w:rsidRPr="006674FD">
        <w:rPr>
          <w:rFonts w:ascii="微软雅黑" w:eastAsia="微软雅黑" w:hAnsi="微软雅黑" w:cs="Arial"/>
          <w:b/>
          <w:color w:val="E36C0A" w:themeColor="accent6" w:themeShade="BF"/>
          <w:szCs w:val="21"/>
        </w:rPr>
        <w:t>Valuability</w:t>
      </w:r>
      <w:proofErr w:type="spellEnd"/>
    </w:p>
    <w:p w:rsidR="006F71A6" w:rsidRPr="00A302E3" w:rsidRDefault="006F71A6" w:rsidP="00D5042A">
      <w:pPr>
        <w:rPr>
          <w:szCs w:val="21"/>
        </w:rPr>
      </w:pPr>
    </w:p>
    <w:p w:rsidR="00E202CA" w:rsidRDefault="006674FD" w:rsidP="00080295">
      <w:pPr>
        <w:rPr>
          <w:rFonts w:ascii="Calibri" w:eastAsia="宋体" w:hAnsi="Calibri" w:cs="Arial"/>
          <w:bCs/>
          <w:szCs w:val="21"/>
        </w:rPr>
      </w:pPr>
      <w:r w:rsidRPr="006674FD">
        <w:rPr>
          <w:rFonts w:ascii="Calibri" w:eastAsia="宋体" w:hAnsi="Calibri" w:cs="Arial" w:hint="eastAsia"/>
          <w:bCs/>
          <w:szCs w:val="21"/>
        </w:rPr>
        <w:t>上海山美重型矿山机械有限公司是德国哈兹马克公司在中国的合资企业，哈兹马克公司成立于</w:t>
      </w:r>
      <w:r w:rsidRPr="006674FD">
        <w:rPr>
          <w:rFonts w:ascii="Calibri" w:eastAsia="宋体" w:hAnsi="Calibri" w:cs="Arial" w:hint="eastAsia"/>
          <w:bCs/>
          <w:szCs w:val="21"/>
        </w:rPr>
        <w:t>1946</w:t>
      </w:r>
      <w:r w:rsidRPr="006674FD">
        <w:rPr>
          <w:rFonts w:ascii="Calibri" w:eastAsia="宋体" w:hAnsi="Calibri" w:cs="Arial" w:hint="eastAsia"/>
          <w:bCs/>
          <w:szCs w:val="21"/>
        </w:rPr>
        <w:t>年，其创始人安德鲁博士是反击式破碎机的发明者。山美积多年经验研发的</w:t>
      </w:r>
      <w:r w:rsidRPr="006674FD">
        <w:rPr>
          <w:rFonts w:ascii="Calibri" w:eastAsia="宋体" w:hAnsi="Calibri" w:cs="Arial" w:hint="eastAsia"/>
          <w:bCs/>
          <w:szCs w:val="21"/>
        </w:rPr>
        <w:t>HC</w:t>
      </w:r>
      <w:r w:rsidRPr="006674FD">
        <w:rPr>
          <w:rFonts w:ascii="Calibri" w:eastAsia="宋体" w:hAnsi="Calibri" w:cs="Arial" w:hint="eastAsia"/>
          <w:bCs/>
          <w:szCs w:val="21"/>
        </w:rPr>
        <w:t>系列反击式破碎机具有世界先进水平，对破碎</w:t>
      </w:r>
      <w:proofErr w:type="gramStart"/>
      <w:r w:rsidRPr="006674FD">
        <w:rPr>
          <w:rFonts w:ascii="Calibri" w:eastAsia="宋体" w:hAnsi="Calibri" w:cs="Arial" w:hint="eastAsia"/>
          <w:bCs/>
          <w:szCs w:val="21"/>
        </w:rPr>
        <w:t>腔</w:t>
      </w:r>
      <w:proofErr w:type="gramEnd"/>
      <w:r w:rsidRPr="006674FD">
        <w:rPr>
          <w:rFonts w:ascii="Calibri" w:eastAsia="宋体" w:hAnsi="Calibri" w:cs="Arial" w:hint="eastAsia"/>
          <w:bCs/>
          <w:szCs w:val="21"/>
        </w:rPr>
        <w:t>进行了优化，转子采用重型化设计，改进了板锤的固定装置，使得板</w:t>
      </w:r>
      <w:proofErr w:type="gramStart"/>
      <w:r w:rsidRPr="006674FD">
        <w:rPr>
          <w:rFonts w:ascii="Calibri" w:eastAsia="宋体" w:hAnsi="Calibri" w:cs="Arial" w:hint="eastAsia"/>
          <w:bCs/>
          <w:szCs w:val="21"/>
        </w:rPr>
        <w:t>锤固定</w:t>
      </w:r>
      <w:proofErr w:type="gramEnd"/>
      <w:r w:rsidRPr="006674FD">
        <w:rPr>
          <w:rFonts w:ascii="Calibri" w:eastAsia="宋体" w:hAnsi="Calibri" w:cs="Arial" w:hint="eastAsia"/>
          <w:bCs/>
          <w:szCs w:val="21"/>
        </w:rPr>
        <w:t>的可靠性更高，增加了人性化的设计，使维修更方便。</w:t>
      </w:r>
    </w:p>
    <w:p w:rsidR="006674FD" w:rsidRDefault="006674FD" w:rsidP="00080295">
      <w:pPr>
        <w:rPr>
          <w:rFonts w:ascii="Calibri" w:eastAsia="宋体" w:hAnsi="Calibri" w:cs="Arial"/>
          <w:bCs/>
          <w:szCs w:val="21"/>
        </w:rPr>
      </w:pPr>
    </w:p>
    <w:p w:rsidR="006674FD" w:rsidRDefault="006674FD" w:rsidP="00080295">
      <w:pPr>
        <w:rPr>
          <w:rFonts w:eastAsia="宋体" w:cs="Arial"/>
          <w:bCs/>
          <w:szCs w:val="21"/>
        </w:rPr>
      </w:pPr>
      <w:r w:rsidRPr="006674FD">
        <w:rPr>
          <w:rFonts w:eastAsia="宋体" w:cs="Arial"/>
          <w:bCs/>
          <w:szCs w:val="21"/>
        </w:rPr>
        <w:t xml:space="preserve">Shanghai </w:t>
      </w:r>
      <w:proofErr w:type="spellStart"/>
      <w:r w:rsidRPr="006674FD">
        <w:rPr>
          <w:rFonts w:eastAsia="宋体" w:cs="Arial"/>
          <w:bCs/>
          <w:szCs w:val="21"/>
        </w:rPr>
        <w:t>Sanme</w:t>
      </w:r>
      <w:proofErr w:type="spellEnd"/>
      <w:r w:rsidRPr="006674FD">
        <w:rPr>
          <w:rFonts w:eastAsia="宋体" w:cs="Arial"/>
          <w:bCs/>
          <w:szCs w:val="21"/>
        </w:rPr>
        <w:t xml:space="preserve"> Mining Machinery Co., Ltd is a subsidiary of HAZEMAG Germany JV </w:t>
      </w:r>
      <w:proofErr w:type="gramStart"/>
      <w:r w:rsidRPr="006674FD">
        <w:rPr>
          <w:rFonts w:eastAsia="宋体" w:cs="Arial"/>
          <w:bCs/>
          <w:szCs w:val="21"/>
        </w:rPr>
        <w:t>company</w:t>
      </w:r>
      <w:proofErr w:type="gramEnd"/>
      <w:r w:rsidRPr="006674FD">
        <w:rPr>
          <w:rFonts w:eastAsia="宋体" w:cs="Arial"/>
          <w:bCs/>
          <w:szCs w:val="21"/>
        </w:rPr>
        <w:t xml:space="preserve"> in China. HAZEMAG &amp;EPR GmbH was founded in 1946 by the inventor of impact crusher Dr. Andreas. By many years experience, </w:t>
      </w:r>
      <w:proofErr w:type="spellStart"/>
      <w:r w:rsidRPr="006674FD">
        <w:rPr>
          <w:rFonts w:eastAsia="宋体" w:cs="Arial"/>
          <w:bCs/>
          <w:szCs w:val="21"/>
        </w:rPr>
        <w:t>Sanme</w:t>
      </w:r>
      <w:proofErr w:type="spellEnd"/>
      <w:r w:rsidRPr="006674FD">
        <w:rPr>
          <w:rFonts w:eastAsia="宋体" w:cs="Arial"/>
          <w:bCs/>
          <w:szCs w:val="21"/>
        </w:rPr>
        <w:t xml:space="preserve"> has developed the HC Series Impact Crushers with world advanced level. The crushing chamber is optimized, the rotor is designed in heavy duty, and the fixing device of blow bar is improved to provide a higher </w:t>
      </w:r>
      <w:proofErr w:type="spellStart"/>
      <w:r w:rsidRPr="006674FD">
        <w:rPr>
          <w:rFonts w:eastAsia="宋体" w:cs="Arial"/>
          <w:bCs/>
          <w:szCs w:val="21"/>
        </w:rPr>
        <w:t>reliablity</w:t>
      </w:r>
      <w:proofErr w:type="spellEnd"/>
      <w:r w:rsidRPr="006674FD">
        <w:rPr>
          <w:rFonts w:eastAsia="宋体" w:cs="Arial"/>
          <w:bCs/>
          <w:szCs w:val="21"/>
        </w:rPr>
        <w:t xml:space="preserve"> degree. Humanized design makes the maintenance more convenient.</w:t>
      </w:r>
    </w:p>
    <w:p w:rsidR="006674FD" w:rsidRPr="006674FD" w:rsidRDefault="006674FD" w:rsidP="00080295">
      <w:pPr>
        <w:rPr>
          <w:rFonts w:eastAsia="宋体" w:cs="Arial"/>
          <w:bCs/>
          <w:szCs w:val="21"/>
        </w:rPr>
      </w:pPr>
    </w:p>
    <w:p w:rsidR="00D75F3D" w:rsidRDefault="00D75F3D" w:rsidP="006F71A6">
      <w:pPr>
        <w:rPr>
          <w:rFonts w:ascii="Calibri" w:eastAsia="宋体" w:hAnsi="Calibri" w:cs="Arial"/>
          <w:b/>
          <w:color w:val="0070C0"/>
          <w:szCs w:val="21"/>
        </w:rPr>
      </w:pPr>
      <w:r w:rsidRPr="00B212CC">
        <w:rPr>
          <w:rFonts w:ascii="Calibri" w:eastAsia="宋体" w:hAnsi="Calibri" w:cs="Arial" w:hint="eastAsia"/>
          <w:b/>
          <w:color w:val="0070C0"/>
          <w:szCs w:val="21"/>
        </w:rPr>
        <w:t>欧星</w:t>
      </w:r>
      <w:r w:rsidRPr="00B212CC">
        <w:rPr>
          <w:rFonts w:ascii="Calibri" w:eastAsia="宋体" w:hAnsi="Calibri" w:cs="Arial" w:hint="eastAsia"/>
          <w:b/>
          <w:color w:val="0070C0"/>
          <w:szCs w:val="21"/>
        </w:rPr>
        <w:t>HC</w:t>
      </w:r>
      <w:r w:rsidRPr="00B212CC">
        <w:rPr>
          <w:rFonts w:ascii="Calibri" w:eastAsia="宋体" w:hAnsi="Calibri" w:cs="Arial" w:hint="eastAsia"/>
          <w:b/>
          <w:color w:val="0070C0"/>
          <w:szCs w:val="21"/>
        </w:rPr>
        <w:t>系列反击式破碎机即可用于物料的粗碎，也可用于中碎和细碎。主要应用于砂石骨料加工、水泥行业的生料破碎、建筑废物回收等领域。</w:t>
      </w:r>
    </w:p>
    <w:p w:rsidR="00D54D43" w:rsidRPr="006F71A6" w:rsidRDefault="00D54D43" w:rsidP="006F71A6">
      <w:pPr>
        <w:rPr>
          <w:rFonts w:ascii="Calibri" w:eastAsia="宋体" w:hAnsi="Calibri" w:cs="Arial"/>
          <w:b/>
          <w:color w:val="E36C0A" w:themeColor="accent6" w:themeShade="BF"/>
          <w:szCs w:val="21"/>
        </w:rPr>
      </w:pPr>
    </w:p>
    <w:p w:rsidR="007D01DA" w:rsidRPr="00B212CC" w:rsidRDefault="00D75F3D" w:rsidP="00D844E0">
      <w:pPr>
        <w:rPr>
          <w:b/>
          <w:color w:val="E36C0A" w:themeColor="accent6" w:themeShade="BF"/>
        </w:rPr>
      </w:pPr>
      <w:r w:rsidRPr="00B212CC">
        <w:rPr>
          <w:b/>
          <w:color w:val="E36C0A" w:themeColor="accent6" w:themeShade="BF"/>
        </w:rPr>
        <w:t>HC Series Impact Crushers can be used in primary, secondary and tertiary crushing stages. They are mainly applied in the field of aggregates, cement and recycling industry.</w:t>
      </w:r>
    </w:p>
    <w:p w:rsidR="007D01DA" w:rsidRDefault="007D01DA" w:rsidP="00D844E0">
      <w:pPr>
        <w:rPr>
          <w:color w:val="FF0000"/>
        </w:rPr>
      </w:pPr>
    </w:p>
    <w:p w:rsidR="00D75F3D" w:rsidRPr="00B212CC" w:rsidRDefault="00B212CC" w:rsidP="00D844E0">
      <w:pPr>
        <w:rPr>
          <w:rFonts w:asciiTheme="minorEastAsia" w:hAnsiTheme="minorEastAsia"/>
          <w:b/>
          <w:bCs/>
          <w:color w:val="0070C0"/>
          <w:sz w:val="24"/>
          <w:szCs w:val="24"/>
        </w:rPr>
      </w:pPr>
      <w:r w:rsidRPr="00B212CC">
        <w:rPr>
          <w:rFonts w:asciiTheme="minorEastAsia" w:hAnsiTheme="minorEastAsia" w:hint="eastAsia"/>
          <w:b/>
          <w:bCs/>
          <w:color w:val="0070C0"/>
          <w:sz w:val="24"/>
          <w:szCs w:val="24"/>
        </w:rPr>
        <w:t>欧星HC系列反击式破碎机特点及优势：</w:t>
      </w:r>
    </w:p>
    <w:p w:rsidR="00B212CC" w:rsidRDefault="00B212CC" w:rsidP="00D844E0">
      <w:pPr>
        <w:rPr>
          <w:b/>
          <w:bCs/>
          <w:color w:val="E36C0A" w:themeColor="accent6" w:themeShade="BF"/>
          <w:sz w:val="24"/>
          <w:szCs w:val="24"/>
        </w:rPr>
      </w:pPr>
      <w:r w:rsidRPr="00B212CC">
        <w:rPr>
          <w:b/>
          <w:bCs/>
          <w:color w:val="E36C0A" w:themeColor="accent6" w:themeShade="BF"/>
          <w:sz w:val="24"/>
          <w:szCs w:val="24"/>
        </w:rPr>
        <w:t>HC Series Impact Crusher Features:</w:t>
      </w:r>
    </w:p>
    <w:p w:rsidR="00B212CC" w:rsidRPr="00B212CC" w:rsidRDefault="00B212CC" w:rsidP="00D844E0">
      <w:pPr>
        <w:rPr>
          <w:b/>
          <w:bCs/>
          <w:color w:val="E36C0A" w:themeColor="accent6" w:themeShade="BF"/>
          <w:sz w:val="24"/>
          <w:szCs w:val="24"/>
        </w:rPr>
      </w:pPr>
    </w:p>
    <w:p w:rsidR="00B212CC" w:rsidRDefault="00B212CC" w:rsidP="00D844E0">
      <w:pPr>
        <w:rPr>
          <w:b/>
          <w:bCs/>
          <w:color w:val="E36C0A" w:themeColor="accent6" w:themeShade="BF"/>
        </w:rPr>
      </w:pPr>
      <w:r w:rsidRPr="00B212CC">
        <w:rPr>
          <w:rFonts w:hint="eastAsia"/>
          <w:b/>
          <w:bCs/>
          <w:color w:val="0070C0"/>
        </w:rPr>
        <w:t>优化</w:t>
      </w:r>
      <w:proofErr w:type="gramStart"/>
      <w:r w:rsidRPr="00B212CC">
        <w:rPr>
          <w:rFonts w:hint="eastAsia"/>
          <w:b/>
          <w:bCs/>
          <w:color w:val="0070C0"/>
        </w:rPr>
        <w:t>的腔型</w:t>
      </w:r>
      <w:proofErr w:type="gramEnd"/>
      <w:r w:rsidRPr="00B212CC">
        <w:rPr>
          <w:rFonts w:hint="eastAsia"/>
          <w:b/>
          <w:bCs/>
          <w:color w:val="0070C0"/>
        </w:rPr>
        <w:t xml:space="preserve"> </w:t>
      </w:r>
      <w:r w:rsidRPr="00B212CC">
        <w:rPr>
          <w:rFonts w:hint="eastAsia"/>
          <w:b/>
          <w:bCs/>
          <w:color w:val="0070C0"/>
        </w:rPr>
        <w:t>更高的产量</w:t>
      </w:r>
      <w:r>
        <w:rPr>
          <w:rFonts w:hint="eastAsia"/>
          <w:b/>
          <w:bCs/>
          <w:color w:val="E36C0A" w:themeColor="accent6" w:themeShade="BF"/>
        </w:rPr>
        <w:t xml:space="preserve">  </w:t>
      </w:r>
      <w:r w:rsidRPr="00B212CC">
        <w:rPr>
          <w:b/>
          <w:bCs/>
          <w:color w:val="E36C0A" w:themeColor="accent6" w:themeShade="BF"/>
        </w:rPr>
        <w:t>Optimized crushing chamber, higher capacity</w:t>
      </w:r>
    </w:p>
    <w:p w:rsidR="00545302" w:rsidRPr="00545302" w:rsidRDefault="00545302" w:rsidP="00D844E0">
      <w:pPr>
        <w:rPr>
          <w:sz w:val="18"/>
          <w:szCs w:val="18"/>
        </w:rPr>
      </w:pPr>
      <w:r w:rsidRPr="00545302">
        <w:rPr>
          <w:rFonts w:hint="eastAsia"/>
          <w:sz w:val="18"/>
          <w:szCs w:val="18"/>
        </w:rPr>
        <w:t>HC</w:t>
      </w:r>
      <w:r w:rsidRPr="00545302">
        <w:rPr>
          <w:rFonts w:hint="eastAsia"/>
          <w:sz w:val="18"/>
          <w:szCs w:val="18"/>
        </w:rPr>
        <w:t>系列反击式破碎机对破碎机</w:t>
      </w:r>
      <w:proofErr w:type="gramStart"/>
      <w:r w:rsidRPr="00545302">
        <w:rPr>
          <w:rFonts w:hint="eastAsia"/>
          <w:sz w:val="18"/>
          <w:szCs w:val="18"/>
        </w:rPr>
        <w:t>的腔型进行</w:t>
      </w:r>
      <w:proofErr w:type="gramEnd"/>
      <w:r w:rsidRPr="00545302">
        <w:rPr>
          <w:rFonts w:hint="eastAsia"/>
          <w:sz w:val="18"/>
          <w:szCs w:val="18"/>
        </w:rPr>
        <w:t>了优化，可以大大提高产量，可以实现大破碎比，从而减少投资。</w:t>
      </w:r>
    </w:p>
    <w:p w:rsidR="00545302" w:rsidRDefault="00545302" w:rsidP="00D844E0">
      <w:pPr>
        <w:rPr>
          <w:sz w:val="18"/>
          <w:szCs w:val="18"/>
        </w:rPr>
      </w:pPr>
      <w:r w:rsidRPr="00545302">
        <w:rPr>
          <w:sz w:val="18"/>
          <w:szCs w:val="18"/>
        </w:rPr>
        <w:t>The crushing chamber of HC series impact crushers is optimized, which obtains extra capacity, improves crushing reduction and lower your capital costs.</w:t>
      </w:r>
    </w:p>
    <w:p w:rsidR="00545302" w:rsidRDefault="00545302" w:rsidP="00D844E0">
      <w:pPr>
        <w:rPr>
          <w:sz w:val="18"/>
          <w:szCs w:val="18"/>
        </w:rPr>
      </w:pPr>
    </w:p>
    <w:p w:rsidR="00545302" w:rsidRPr="00545302" w:rsidRDefault="00545302" w:rsidP="00D844E0">
      <w:pPr>
        <w:rPr>
          <w:b/>
          <w:bCs/>
          <w:color w:val="E36C0A" w:themeColor="accent6" w:themeShade="BF"/>
          <w:szCs w:val="21"/>
        </w:rPr>
      </w:pPr>
      <w:r w:rsidRPr="00545302">
        <w:rPr>
          <w:rFonts w:hint="eastAsia"/>
          <w:b/>
          <w:bCs/>
          <w:color w:val="0070C0"/>
          <w:szCs w:val="21"/>
        </w:rPr>
        <w:t>大进料口设计，可以破碎更大的物料</w:t>
      </w:r>
      <w:r w:rsidRPr="00545302">
        <w:rPr>
          <w:rFonts w:hint="eastAsia"/>
          <w:b/>
          <w:bCs/>
          <w:szCs w:val="21"/>
        </w:rPr>
        <w:t xml:space="preserve"> </w:t>
      </w:r>
      <w:r>
        <w:rPr>
          <w:rFonts w:hint="eastAsia"/>
          <w:b/>
          <w:bCs/>
          <w:szCs w:val="21"/>
        </w:rPr>
        <w:t xml:space="preserve"> </w:t>
      </w:r>
      <w:r w:rsidRPr="00545302">
        <w:rPr>
          <w:b/>
          <w:bCs/>
          <w:color w:val="E36C0A" w:themeColor="accent6" w:themeShade="BF"/>
          <w:szCs w:val="21"/>
        </w:rPr>
        <w:t>Bigger feed opening design, bigger material crushed</w:t>
      </w:r>
    </w:p>
    <w:p w:rsidR="00D75F3D" w:rsidRPr="008D3E0B" w:rsidRDefault="008D3E0B" w:rsidP="00D844E0">
      <w:pPr>
        <w:rPr>
          <w:sz w:val="18"/>
          <w:szCs w:val="18"/>
        </w:rPr>
      </w:pPr>
      <w:r w:rsidRPr="008D3E0B">
        <w:rPr>
          <w:rFonts w:hint="eastAsia"/>
          <w:sz w:val="18"/>
          <w:szCs w:val="18"/>
        </w:rPr>
        <w:t>HC</w:t>
      </w:r>
      <w:r w:rsidRPr="008D3E0B">
        <w:rPr>
          <w:rFonts w:hint="eastAsia"/>
          <w:sz w:val="18"/>
          <w:szCs w:val="18"/>
        </w:rPr>
        <w:t>系列反击式破碎机通过优化，加大了进料口设计，可以破碎更大的物料，在破碎石灰石等中硬物料时，可以代替颚式破碎机。特别是处理进料粒度较大的钢筋混凝土等建筑垃圾时，更具优势。</w:t>
      </w:r>
    </w:p>
    <w:p w:rsidR="008D3E0B" w:rsidRDefault="008D3E0B" w:rsidP="00D844E0">
      <w:pPr>
        <w:rPr>
          <w:sz w:val="18"/>
          <w:szCs w:val="18"/>
        </w:rPr>
      </w:pPr>
      <w:r w:rsidRPr="008D3E0B">
        <w:rPr>
          <w:sz w:val="18"/>
          <w:szCs w:val="18"/>
        </w:rPr>
        <w:t xml:space="preserve">By optimization, HC series impact crushers use enlarged feed opening design, which can crush bigger material. When crushing medium hard material </w:t>
      </w:r>
      <w:proofErr w:type="spellStart"/>
      <w:r w:rsidRPr="008D3E0B">
        <w:rPr>
          <w:sz w:val="18"/>
          <w:szCs w:val="18"/>
        </w:rPr>
        <w:t>eg</w:t>
      </w:r>
      <w:proofErr w:type="spellEnd"/>
      <w:r w:rsidRPr="008D3E0B">
        <w:rPr>
          <w:sz w:val="18"/>
          <w:szCs w:val="18"/>
        </w:rPr>
        <w:t xml:space="preserve">. Limestone, they can replace jaw crusher. Especially in crushing oversized concrete in the construction waste, they have more </w:t>
      </w:r>
      <w:proofErr w:type="spellStart"/>
      <w:r w:rsidRPr="008D3E0B">
        <w:rPr>
          <w:sz w:val="18"/>
          <w:szCs w:val="18"/>
        </w:rPr>
        <w:t>advantges</w:t>
      </w:r>
      <w:proofErr w:type="spellEnd"/>
      <w:r w:rsidRPr="008D3E0B">
        <w:rPr>
          <w:sz w:val="18"/>
          <w:szCs w:val="18"/>
        </w:rPr>
        <w:t>.</w:t>
      </w:r>
    </w:p>
    <w:p w:rsidR="008D3E0B" w:rsidRDefault="008D3E0B" w:rsidP="00D844E0">
      <w:pPr>
        <w:rPr>
          <w:sz w:val="18"/>
          <w:szCs w:val="18"/>
        </w:rPr>
      </w:pPr>
    </w:p>
    <w:p w:rsidR="008D3E0B" w:rsidRPr="008D3E0B" w:rsidRDefault="008D3E0B" w:rsidP="00D844E0">
      <w:pPr>
        <w:rPr>
          <w:b/>
          <w:bCs/>
          <w:color w:val="E36C0A" w:themeColor="accent6" w:themeShade="BF"/>
          <w:szCs w:val="21"/>
        </w:rPr>
      </w:pPr>
      <w:r w:rsidRPr="008D3E0B">
        <w:rPr>
          <w:rFonts w:hint="eastAsia"/>
          <w:b/>
          <w:bCs/>
          <w:color w:val="0070C0"/>
          <w:szCs w:val="21"/>
        </w:rPr>
        <w:t>增加研磨</w:t>
      </w:r>
      <w:proofErr w:type="gramStart"/>
      <w:r w:rsidRPr="008D3E0B">
        <w:rPr>
          <w:rFonts w:hint="eastAsia"/>
          <w:b/>
          <w:bCs/>
          <w:color w:val="0070C0"/>
          <w:szCs w:val="21"/>
        </w:rPr>
        <w:t>腔</w:t>
      </w:r>
      <w:proofErr w:type="gramEnd"/>
      <w:r w:rsidRPr="008D3E0B">
        <w:rPr>
          <w:rFonts w:hint="eastAsia"/>
          <w:b/>
          <w:bCs/>
          <w:color w:val="0070C0"/>
          <w:szCs w:val="21"/>
        </w:rPr>
        <w:t>设计（可选），使应用范围更广</w:t>
      </w:r>
      <w:r w:rsidRPr="008D3E0B">
        <w:rPr>
          <w:rFonts w:hint="eastAsia"/>
          <w:b/>
          <w:bCs/>
          <w:color w:val="0070C0"/>
          <w:szCs w:val="21"/>
        </w:rPr>
        <w:t xml:space="preserve">  </w:t>
      </w:r>
      <w:r w:rsidRPr="008D3E0B">
        <w:rPr>
          <w:b/>
          <w:bCs/>
          <w:color w:val="E36C0A" w:themeColor="accent6" w:themeShade="BF"/>
          <w:szCs w:val="21"/>
        </w:rPr>
        <w:t>Adding grinding cavity design (Optional), wide application</w:t>
      </w:r>
    </w:p>
    <w:p w:rsidR="00D75F3D" w:rsidRPr="00C9040B" w:rsidRDefault="00C9040B" w:rsidP="00D844E0">
      <w:pPr>
        <w:rPr>
          <w:sz w:val="18"/>
          <w:szCs w:val="18"/>
        </w:rPr>
      </w:pPr>
      <w:r w:rsidRPr="00C9040B">
        <w:rPr>
          <w:rFonts w:hint="eastAsia"/>
          <w:sz w:val="18"/>
          <w:szCs w:val="18"/>
        </w:rPr>
        <w:t>HC</w:t>
      </w:r>
      <w:r w:rsidRPr="00C9040B">
        <w:rPr>
          <w:rFonts w:hint="eastAsia"/>
          <w:sz w:val="18"/>
          <w:szCs w:val="18"/>
        </w:rPr>
        <w:t>系列反击式破碎机通过增加研磨腔的设计，可实现大破碎比，使排料更小、产品粒形更优。给客户更多选择，扩大了应用范围。</w:t>
      </w:r>
    </w:p>
    <w:p w:rsidR="00C9040B" w:rsidRPr="00C9040B" w:rsidRDefault="00C9040B" w:rsidP="00D844E0">
      <w:pPr>
        <w:rPr>
          <w:sz w:val="18"/>
          <w:szCs w:val="18"/>
        </w:rPr>
      </w:pPr>
      <w:r w:rsidRPr="00C9040B">
        <w:rPr>
          <w:sz w:val="18"/>
          <w:szCs w:val="18"/>
        </w:rPr>
        <w:t>With the design of grinding cavity, HC series impact crusher achieves bigger crushing ratio, lower discharge opening and excellent product shape. More choice for customers makes more application.</w:t>
      </w:r>
    </w:p>
    <w:p w:rsidR="00EE3571" w:rsidRPr="00EE3571" w:rsidRDefault="00445605" w:rsidP="00EE3571">
      <w:pPr>
        <w:rPr>
          <w:b/>
          <w:bCs/>
          <w:noProof/>
          <w:color w:val="0070C0"/>
        </w:rPr>
      </w:pPr>
      <w:r>
        <w:rPr>
          <w:rFonts w:hint="eastAsia"/>
          <w:b/>
          <w:bCs/>
          <w:noProof/>
          <w:color w:val="0070C0"/>
        </w:rPr>
        <w:lastRenderedPageBreak/>
        <w:drawing>
          <wp:anchor distT="0" distB="0" distL="114300" distR="114300" simplePos="0" relativeHeight="251677696" behindDoc="1" locked="0" layoutInCell="1" allowOverlap="1">
            <wp:simplePos x="0" y="0"/>
            <wp:positionH relativeFrom="column">
              <wp:posOffset>-911860</wp:posOffset>
            </wp:positionH>
            <wp:positionV relativeFrom="paragraph">
              <wp:posOffset>-754380</wp:posOffset>
            </wp:positionV>
            <wp:extent cx="7981950" cy="371475"/>
            <wp:effectExtent l="19050" t="0" r="0" b="0"/>
            <wp:wrapNone/>
            <wp:docPr id="2" name="图片 1"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8" cstate="print"/>
                    <a:stretch>
                      <a:fillRect/>
                    </a:stretch>
                  </pic:blipFill>
                  <pic:spPr>
                    <a:xfrm>
                      <a:off x="0" y="0"/>
                      <a:ext cx="7981950" cy="371475"/>
                    </a:xfrm>
                    <a:prstGeom prst="rect">
                      <a:avLst/>
                    </a:prstGeom>
                  </pic:spPr>
                </pic:pic>
              </a:graphicData>
            </a:graphic>
          </wp:anchor>
        </w:drawing>
      </w:r>
      <w:r w:rsidR="00EE3571" w:rsidRPr="00EE3571">
        <w:rPr>
          <w:rFonts w:hint="eastAsia"/>
          <w:b/>
          <w:bCs/>
          <w:noProof/>
          <w:color w:val="0070C0"/>
        </w:rPr>
        <w:t>转子重型化设计，改进板锤固定方式，增加了可靠性</w:t>
      </w:r>
      <w:r w:rsidR="00EE3571" w:rsidRPr="00EE3571">
        <w:rPr>
          <w:rFonts w:hint="eastAsia"/>
          <w:b/>
          <w:bCs/>
          <w:noProof/>
          <w:color w:val="0070C0"/>
        </w:rPr>
        <w:t xml:space="preserve">  </w:t>
      </w:r>
    </w:p>
    <w:p w:rsidR="00842357" w:rsidRPr="00EE3571" w:rsidRDefault="00EE3571" w:rsidP="00EE3571">
      <w:pPr>
        <w:rPr>
          <w:b/>
          <w:bCs/>
          <w:color w:val="E36C0A" w:themeColor="accent6" w:themeShade="BF"/>
          <w:szCs w:val="21"/>
        </w:rPr>
      </w:pPr>
      <w:r w:rsidRPr="00EE3571">
        <w:rPr>
          <w:b/>
          <w:bCs/>
          <w:color w:val="E36C0A" w:themeColor="accent6" w:themeShade="BF"/>
          <w:szCs w:val="21"/>
        </w:rPr>
        <w:t>Heavy rotor design and unique blow bar fixing system provide reliability</w:t>
      </w:r>
    </w:p>
    <w:p w:rsidR="00EE3571" w:rsidRPr="00EE3571" w:rsidRDefault="00EE3571" w:rsidP="00CF203A">
      <w:pPr>
        <w:rPr>
          <w:sz w:val="18"/>
          <w:szCs w:val="18"/>
        </w:rPr>
      </w:pPr>
      <w:r w:rsidRPr="00EE3571">
        <w:rPr>
          <w:rFonts w:hint="eastAsia"/>
          <w:sz w:val="18"/>
          <w:szCs w:val="18"/>
        </w:rPr>
        <w:t>HC</w:t>
      </w:r>
      <w:r w:rsidRPr="00EE3571">
        <w:rPr>
          <w:rFonts w:hint="eastAsia"/>
          <w:sz w:val="18"/>
          <w:szCs w:val="18"/>
        </w:rPr>
        <w:t>系列反击式破碎机转子采用重型化设计，不但提高了可靠性，还提高了转子的转动惯量，可以提高破碎机的处理能力；改进了板锤的固定方式，使板锤的更换更方便，固定更可靠。</w:t>
      </w:r>
    </w:p>
    <w:p w:rsidR="006E736B" w:rsidRPr="00EE3571" w:rsidRDefault="00EE3571" w:rsidP="00CF203A">
      <w:pPr>
        <w:rPr>
          <w:noProof/>
          <w:sz w:val="18"/>
          <w:szCs w:val="18"/>
        </w:rPr>
      </w:pPr>
      <w:r w:rsidRPr="00EE3571">
        <w:rPr>
          <w:noProof/>
          <w:sz w:val="18"/>
          <w:szCs w:val="18"/>
        </w:rPr>
        <w:t>HC series impact crushers adopt heavy rotor design, which not only improves reliability, but also increases moment of inertia of rotor and capacity. The fixing of blow bar is improved to make the exchange easy and fixing reliable.</w:t>
      </w:r>
    </w:p>
    <w:p w:rsidR="00EE3571" w:rsidRDefault="00EE3571" w:rsidP="00CF203A">
      <w:pPr>
        <w:rPr>
          <w:szCs w:val="21"/>
        </w:rPr>
      </w:pPr>
    </w:p>
    <w:p w:rsidR="001E0556" w:rsidRPr="001E0556" w:rsidRDefault="001E0556" w:rsidP="00CF203A">
      <w:pPr>
        <w:rPr>
          <w:b/>
          <w:bCs/>
          <w:color w:val="E36C0A" w:themeColor="accent6" w:themeShade="BF"/>
          <w:szCs w:val="21"/>
        </w:rPr>
      </w:pPr>
      <w:r w:rsidRPr="001E0556">
        <w:rPr>
          <w:rFonts w:hint="eastAsia"/>
          <w:b/>
          <w:bCs/>
          <w:color w:val="0070C0"/>
          <w:szCs w:val="21"/>
        </w:rPr>
        <w:t>可靠的过载和过铁保护装置</w:t>
      </w:r>
      <w:r w:rsidRPr="001E0556">
        <w:rPr>
          <w:rFonts w:hint="eastAsia"/>
          <w:b/>
          <w:bCs/>
          <w:color w:val="0070C0"/>
          <w:szCs w:val="21"/>
        </w:rPr>
        <w:t xml:space="preserve">  </w:t>
      </w:r>
      <w:r w:rsidRPr="001E0556">
        <w:rPr>
          <w:b/>
          <w:bCs/>
          <w:color w:val="E36C0A" w:themeColor="accent6" w:themeShade="BF"/>
          <w:szCs w:val="21"/>
        </w:rPr>
        <w:t>Reliable overload and tramp iron protection device</w:t>
      </w:r>
    </w:p>
    <w:p w:rsidR="001E0556" w:rsidRPr="001E0556" w:rsidRDefault="001E0556" w:rsidP="00CF203A">
      <w:pPr>
        <w:rPr>
          <w:sz w:val="18"/>
          <w:szCs w:val="18"/>
        </w:rPr>
      </w:pPr>
      <w:r w:rsidRPr="001E0556">
        <w:rPr>
          <w:rFonts w:hint="eastAsia"/>
          <w:sz w:val="18"/>
          <w:szCs w:val="18"/>
        </w:rPr>
        <w:t>HC</w:t>
      </w:r>
      <w:r w:rsidRPr="001E0556">
        <w:rPr>
          <w:rFonts w:hint="eastAsia"/>
          <w:sz w:val="18"/>
          <w:szCs w:val="18"/>
        </w:rPr>
        <w:t>系列反击式破碎机为了保护转子主体和</w:t>
      </w:r>
      <w:proofErr w:type="gramStart"/>
      <w:r w:rsidRPr="001E0556">
        <w:rPr>
          <w:rFonts w:hint="eastAsia"/>
          <w:sz w:val="18"/>
          <w:szCs w:val="18"/>
        </w:rPr>
        <w:t>板锤</w:t>
      </w:r>
      <w:proofErr w:type="gramEnd"/>
      <w:r w:rsidRPr="001E0556">
        <w:rPr>
          <w:rFonts w:hint="eastAsia"/>
          <w:sz w:val="18"/>
          <w:szCs w:val="18"/>
        </w:rPr>
        <w:t>，优化了过载和过铁保护装置，反击板在过载的情况下可以回缩，一旦载荷值恢复正常，反击板会回到预设位置并正常工作。</w:t>
      </w:r>
    </w:p>
    <w:p w:rsidR="006E736B" w:rsidRPr="001E0556" w:rsidRDefault="001E0556" w:rsidP="00CF203A">
      <w:pPr>
        <w:rPr>
          <w:sz w:val="18"/>
          <w:szCs w:val="18"/>
        </w:rPr>
      </w:pPr>
      <w:r w:rsidRPr="001E0556">
        <w:rPr>
          <w:sz w:val="18"/>
          <w:szCs w:val="18"/>
        </w:rPr>
        <w:t>For the protection of the rotor body and blow bars, the HC series impact crushers optimize overload and tramp iron protection device. The impact aprons retract under excessive load. As soon as the load value returns to normal, the impact aprons resumes its pre-set position, and operation continues without interruption.</w:t>
      </w:r>
    </w:p>
    <w:p w:rsidR="001E0556" w:rsidRDefault="001E0556" w:rsidP="00CF203A">
      <w:pPr>
        <w:rPr>
          <w:szCs w:val="21"/>
        </w:rPr>
      </w:pPr>
    </w:p>
    <w:p w:rsidR="00AE21A7" w:rsidRPr="00AE21A7" w:rsidRDefault="00AE21A7" w:rsidP="00CF203A">
      <w:pPr>
        <w:rPr>
          <w:b/>
          <w:bCs/>
          <w:color w:val="E36C0A" w:themeColor="accent6" w:themeShade="BF"/>
          <w:szCs w:val="21"/>
        </w:rPr>
      </w:pPr>
      <w:r w:rsidRPr="00AE21A7">
        <w:rPr>
          <w:rFonts w:hint="eastAsia"/>
          <w:b/>
          <w:bCs/>
          <w:color w:val="0070C0"/>
          <w:szCs w:val="21"/>
        </w:rPr>
        <w:t>方便维护，安全可靠</w:t>
      </w:r>
      <w:r w:rsidRPr="00AE21A7">
        <w:rPr>
          <w:rFonts w:hint="eastAsia"/>
          <w:b/>
          <w:bCs/>
          <w:color w:val="E36C0A" w:themeColor="accent6" w:themeShade="BF"/>
          <w:szCs w:val="21"/>
        </w:rPr>
        <w:t xml:space="preserve">  </w:t>
      </w:r>
      <w:r w:rsidRPr="00AE21A7">
        <w:rPr>
          <w:b/>
          <w:bCs/>
          <w:color w:val="E36C0A" w:themeColor="accent6" w:themeShade="BF"/>
          <w:szCs w:val="21"/>
        </w:rPr>
        <w:t xml:space="preserve">Easy to maintain, </w:t>
      </w:r>
      <w:r w:rsidR="00863D71">
        <w:rPr>
          <w:rFonts w:hint="eastAsia"/>
          <w:b/>
          <w:bCs/>
          <w:color w:val="E36C0A" w:themeColor="accent6" w:themeShade="BF"/>
          <w:szCs w:val="21"/>
        </w:rPr>
        <w:t xml:space="preserve">high </w:t>
      </w:r>
      <w:r w:rsidRPr="00AE21A7">
        <w:rPr>
          <w:b/>
          <w:bCs/>
          <w:color w:val="E36C0A" w:themeColor="accent6" w:themeShade="BF"/>
          <w:szCs w:val="21"/>
        </w:rPr>
        <w:t>reliability and safety</w:t>
      </w:r>
    </w:p>
    <w:p w:rsidR="00AE21A7" w:rsidRPr="00AE21A7" w:rsidRDefault="00AE21A7" w:rsidP="00CF203A">
      <w:pPr>
        <w:rPr>
          <w:sz w:val="18"/>
          <w:szCs w:val="18"/>
        </w:rPr>
      </w:pPr>
      <w:r w:rsidRPr="00AE21A7">
        <w:rPr>
          <w:rFonts w:hint="eastAsia"/>
          <w:sz w:val="18"/>
          <w:szCs w:val="18"/>
        </w:rPr>
        <w:t>HC</w:t>
      </w:r>
      <w:r w:rsidRPr="00AE21A7">
        <w:rPr>
          <w:rFonts w:hint="eastAsia"/>
          <w:sz w:val="18"/>
          <w:szCs w:val="18"/>
        </w:rPr>
        <w:t>系列反击式破碎机采用液压助力设计，大大方便调整排矿口，便于打开上机架进入破碎机内部进行检查、维修和更换。</w:t>
      </w:r>
    </w:p>
    <w:p w:rsidR="003C5E17" w:rsidRDefault="00AE21A7" w:rsidP="00CF203A">
      <w:pPr>
        <w:rPr>
          <w:sz w:val="18"/>
          <w:szCs w:val="18"/>
        </w:rPr>
      </w:pPr>
      <w:r w:rsidRPr="00AE21A7">
        <w:rPr>
          <w:sz w:val="18"/>
          <w:szCs w:val="18"/>
        </w:rPr>
        <w:t>The hydraulic power unit is used by HC series impact crusher for easy adjustment of setting. It is convenient for checking, maintaining and changing wear parts.</w:t>
      </w:r>
    </w:p>
    <w:p w:rsidR="00AE21A7" w:rsidRDefault="00AE21A7" w:rsidP="00CF203A">
      <w:pPr>
        <w:rPr>
          <w:sz w:val="18"/>
          <w:szCs w:val="18"/>
        </w:rPr>
      </w:pPr>
    </w:p>
    <w:p w:rsidR="00AE21A7" w:rsidRPr="00AE21A7" w:rsidRDefault="00AE21A7" w:rsidP="00CF203A">
      <w:pPr>
        <w:rPr>
          <w:sz w:val="18"/>
          <w:szCs w:val="18"/>
        </w:rPr>
      </w:pPr>
    </w:p>
    <w:p w:rsidR="005E7745" w:rsidRDefault="00FE274E" w:rsidP="00E7415A">
      <w:pPr>
        <w:jc w:val="left"/>
        <w:rPr>
          <w:b/>
          <w:bCs/>
          <w:noProof/>
          <w:color w:val="E36C0A" w:themeColor="accent6" w:themeShade="BF"/>
          <w:sz w:val="28"/>
          <w:szCs w:val="28"/>
        </w:rPr>
      </w:pPr>
      <w:r w:rsidRPr="001B42FD">
        <w:rPr>
          <w:rFonts w:asciiTheme="minorEastAsia" w:hAnsiTheme="minorEastAsia" w:hint="eastAsia"/>
          <w:b/>
          <w:bCs/>
          <w:color w:val="0070C0"/>
          <w:szCs w:val="21"/>
        </w:rPr>
        <w:t xml:space="preserve">结构图  </w:t>
      </w:r>
      <w:r w:rsidRPr="001B42FD">
        <w:rPr>
          <w:b/>
          <w:bCs/>
          <w:color w:val="E36C0A" w:themeColor="accent6" w:themeShade="BF"/>
          <w:szCs w:val="21"/>
        </w:rPr>
        <w:t>Structure Drawing</w:t>
      </w:r>
      <w:r w:rsidR="00E7415A">
        <w:rPr>
          <w:rFonts w:hint="eastAsia"/>
          <w:b/>
          <w:bCs/>
          <w:noProof/>
          <w:color w:val="E36C0A" w:themeColor="accent6" w:themeShade="BF"/>
          <w:sz w:val="28"/>
          <w:szCs w:val="28"/>
        </w:rPr>
        <w:drawing>
          <wp:inline distT="0" distB="0" distL="0" distR="0">
            <wp:extent cx="5438775" cy="2178888"/>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38775" cy="2178888"/>
                    </a:xfrm>
                    <a:prstGeom prst="rect">
                      <a:avLst/>
                    </a:prstGeom>
                    <a:noFill/>
                    <a:ln w="9525">
                      <a:noFill/>
                      <a:miter lim="800000"/>
                      <a:headEnd/>
                      <a:tailEnd/>
                    </a:ln>
                  </pic:spPr>
                </pic:pic>
              </a:graphicData>
            </a:graphic>
          </wp:inline>
        </w:drawing>
      </w:r>
    </w:p>
    <w:p w:rsidR="002A4609" w:rsidRPr="001B42FD" w:rsidRDefault="002A4609" w:rsidP="002A4609">
      <w:pPr>
        <w:jc w:val="left"/>
        <w:rPr>
          <w:b/>
          <w:bCs/>
          <w:color w:val="E36C0A" w:themeColor="accent6" w:themeShade="BF"/>
          <w:szCs w:val="21"/>
        </w:rPr>
      </w:pPr>
      <w:r w:rsidRPr="001B42FD">
        <w:rPr>
          <w:rFonts w:hint="eastAsia"/>
          <w:b/>
          <w:bCs/>
          <w:color w:val="0070C0"/>
          <w:szCs w:val="21"/>
        </w:rPr>
        <w:t>外形尺寸</w:t>
      </w:r>
      <w:r w:rsidRPr="001B42FD">
        <w:rPr>
          <w:rFonts w:hint="eastAsia"/>
          <w:b/>
          <w:bCs/>
          <w:color w:val="E36C0A" w:themeColor="accent6" w:themeShade="BF"/>
          <w:szCs w:val="21"/>
        </w:rPr>
        <w:t xml:space="preserve">  Overall Dimensions</w:t>
      </w:r>
    </w:p>
    <w:p w:rsidR="002A4609" w:rsidRDefault="002A4609" w:rsidP="002A4609">
      <w:pPr>
        <w:jc w:val="left"/>
        <w:rPr>
          <w:b/>
          <w:bCs/>
          <w:color w:val="E36C0A" w:themeColor="accent6" w:themeShade="BF"/>
          <w:sz w:val="28"/>
          <w:szCs w:val="28"/>
        </w:rPr>
      </w:pPr>
      <w:r>
        <w:rPr>
          <w:b/>
          <w:bCs/>
          <w:noProof/>
          <w:color w:val="E36C0A" w:themeColor="accent6" w:themeShade="BF"/>
          <w:sz w:val="28"/>
          <w:szCs w:val="28"/>
        </w:rPr>
        <w:drawing>
          <wp:inline distT="0" distB="0" distL="0" distR="0">
            <wp:extent cx="5304865" cy="222885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304865" cy="2228850"/>
                    </a:xfrm>
                    <a:prstGeom prst="rect">
                      <a:avLst/>
                    </a:prstGeom>
                    <a:noFill/>
                    <a:ln w="9525">
                      <a:noFill/>
                      <a:miter lim="800000"/>
                      <a:headEnd/>
                      <a:tailEnd/>
                    </a:ln>
                  </pic:spPr>
                </pic:pic>
              </a:graphicData>
            </a:graphic>
          </wp:inline>
        </w:drawing>
      </w:r>
    </w:p>
    <w:p w:rsidR="001B42FD" w:rsidRDefault="001B42FD" w:rsidP="002A4609">
      <w:pPr>
        <w:jc w:val="left"/>
        <w:rPr>
          <w:b/>
          <w:bCs/>
          <w:color w:val="E36C0A" w:themeColor="accent6" w:themeShade="BF"/>
          <w:sz w:val="28"/>
          <w:szCs w:val="28"/>
        </w:rPr>
      </w:pPr>
    </w:p>
    <w:p w:rsidR="005E7745" w:rsidRPr="005E7745" w:rsidRDefault="002A4609" w:rsidP="005E7745">
      <w:pPr>
        <w:rPr>
          <w:b/>
          <w:bCs/>
          <w:color w:val="0070C0"/>
          <w:szCs w:val="21"/>
        </w:rPr>
      </w:pPr>
      <w:r>
        <w:rPr>
          <w:rFonts w:hint="eastAsia"/>
          <w:b/>
          <w:bCs/>
          <w:noProof/>
          <w:color w:val="0070C0"/>
          <w:szCs w:val="21"/>
        </w:rPr>
        <w:lastRenderedPageBreak/>
        <w:drawing>
          <wp:anchor distT="0" distB="0" distL="114300" distR="114300" simplePos="0" relativeHeight="251675648" behindDoc="1" locked="0" layoutInCell="1" allowOverlap="1">
            <wp:simplePos x="0" y="0"/>
            <wp:positionH relativeFrom="column">
              <wp:posOffset>-921385</wp:posOffset>
            </wp:positionH>
            <wp:positionV relativeFrom="paragraph">
              <wp:posOffset>-744855</wp:posOffset>
            </wp:positionV>
            <wp:extent cx="7981950" cy="371475"/>
            <wp:effectExtent l="19050" t="0" r="0" b="0"/>
            <wp:wrapNone/>
            <wp:docPr id="7" name="图片 1"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8" cstate="print"/>
                    <a:stretch>
                      <a:fillRect/>
                    </a:stretch>
                  </pic:blipFill>
                  <pic:spPr>
                    <a:xfrm>
                      <a:off x="0" y="0"/>
                      <a:ext cx="7981950" cy="371475"/>
                    </a:xfrm>
                    <a:prstGeom prst="rect">
                      <a:avLst/>
                    </a:prstGeom>
                  </pic:spPr>
                </pic:pic>
              </a:graphicData>
            </a:graphic>
          </wp:anchor>
        </w:drawing>
      </w:r>
      <w:r w:rsidR="005E7745" w:rsidRPr="005E7745">
        <w:rPr>
          <w:rFonts w:hint="eastAsia"/>
          <w:b/>
          <w:bCs/>
          <w:color w:val="0070C0"/>
          <w:szCs w:val="21"/>
        </w:rPr>
        <w:t>技术参数：</w:t>
      </w:r>
    </w:p>
    <w:p w:rsidR="005E7745" w:rsidRPr="005E7745" w:rsidRDefault="005E7745" w:rsidP="005E7745">
      <w:pPr>
        <w:rPr>
          <w:b/>
          <w:color w:val="0070C0"/>
          <w:sz w:val="24"/>
          <w:szCs w:val="24"/>
        </w:rPr>
      </w:pPr>
      <w:r w:rsidRPr="002A7C0A">
        <w:rPr>
          <w:b/>
          <w:color w:val="E36C0A" w:themeColor="accent6" w:themeShade="BF"/>
          <w:sz w:val="24"/>
          <w:szCs w:val="24"/>
        </w:rPr>
        <w:t xml:space="preserve">Technical </w:t>
      </w:r>
      <w:r w:rsidRPr="002A7C0A">
        <w:rPr>
          <w:rFonts w:hint="eastAsia"/>
          <w:b/>
          <w:color w:val="E36C0A" w:themeColor="accent6" w:themeShade="BF"/>
          <w:sz w:val="24"/>
          <w:szCs w:val="24"/>
        </w:rPr>
        <w:t>S</w:t>
      </w:r>
      <w:r w:rsidRPr="002A7C0A">
        <w:rPr>
          <w:b/>
          <w:color w:val="E36C0A" w:themeColor="accent6" w:themeShade="BF"/>
          <w:sz w:val="24"/>
          <w:szCs w:val="24"/>
        </w:rPr>
        <w:t>pecifications:</w:t>
      </w:r>
    </w:p>
    <w:tbl>
      <w:tblPr>
        <w:tblW w:w="10113" w:type="dxa"/>
        <w:jc w:val="center"/>
        <w:tblInd w:w="-2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1263"/>
        <w:gridCol w:w="1330"/>
        <w:gridCol w:w="1356"/>
        <w:gridCol w:w="1110"/>
        <w:gridCol w:w="2256"/>
        <w:gridCol w:w="1716"/>
      </w:tblGrid>
      <w:tr w:rsidR="000A64E2" w:rsidRPr="004007E4" w:rsidTr="000A64E2">
        <w:trPr>
          <w:trHeight w:val="834"/>
          <w:jc w:val="center"/>
        </w:trPr>
        <w:tc>
          <w:tcPr>
            <w:tcW w:w="1082" w:type="dxa"/>
            <w:vAlign w:val="center"/>
          </w:tcPr>
          <w:p w:rsidR="00614D50" w:rsidRPr="004007E4" w:rsidRDefault="00614D50" w:rsidP="00053A4C">
            <w:pPr>
              <w:jc w:val="center"/>
              <w:rPr>
                <w:rFonts w:ascii="Calibri" w:eastAsia="宋体" w:hAnsi="Calibri" w:cs="Arial"/>
                <w:b/>
                <w:bCs/>
                <w:sz w:val="18"/>
                <w:szCs w:val="18"/>
              </w:rPr>
            </w:pPr>
            <w:r w:rsidRPr="004007E4">
              <w:rPr>
                <w:rFonts w:ascii="Calibri" w:eastAsia="宋体" w:hAnsi="Calibri" w:cs="Arial" w:hint="eastAsia"/>
                <w:b/>
                <w:bCs/>
                <w:sz w:val="18"/>
                <w:szCs w:val="18"/>
              </w:rPr>
              <w:t>型号</w:t>
            </w:r>
          </w:p>
          <w:p w:rsidR="00614D50" w:rsidRPr="004007E4" w:rsidRDefault="00614D50" w:rsidP="00053A4C">
            <w:pPr>
              <w:jc w:val="center"/>
              <w:rPr>
                <w:rFonts w:ascii="Calibri" w:eastAsia="宋体" w:hAnsi="Calibri" w:cs="Arial"/>
                <w:b/>
                <w:bCs/>
                <w:sz w:val="18"/>
                <w:szCs w:val="18"/>
                <w:lang w:val="es-MX"/>
              </w:rPr>
            </w:pPr>
            <w:r w:rsidRPr="004007E4">
              <w:rPr>
                <w:rFonts w:ascii="Calibri" w:eastAsia="宋体" w:hAnsi="Calibri" w:cs="Arial" w:hint="eastAsia"/>
                <w:b/>
                <w:bCs/>
                <w:sz w:val="18"/>
                <w:szCs w:val="18"/>
              </w:rPr>
              <w:t>Model</w:t>
            </w:r>
          </w:p>
        </w:tc>
        <w:tc>
          <w:tcPr>
            <w:tcW w:w="1263" w:type="dxa"/>
            <w:vAlign w:val="center"/>
          </w:tcPr>
          <w:p w:rsidR="00614D50" w:rsidRPr="004007E4" w:rsidRDefault="00614D50" w:rsidP="007D6ABD">
            <w:pPr>
              <w:jc w:val="center"/>
              <w:rPr>
                <w:rFonts w:ascii="Calibri" w:eastAsia="宋体" w:hAnsi="Calibri" w:cs="Arial"/>
                <w:b/>
                <w:bCs/>
                <w:sz w:val="18"/>
                <w:szCs w:val="18"/>
                <w:lang w:val="es-MX"/>
              </w:rPr>
            </w:pPr>
            <w:r w:rsidRPr="004007E4">
              <w:rPr>
                <w:rFonts w:ascii="Calibri" w:eastAsia="宋体" w:hAnsi="Calibri" w:cs="Arial" w:hint="eastAsia"/>
                <w:b/>
                <w:bCs/>
                <w:sz w:val="18"/>
                <w:szCs w:val="18"/>
              </w:rPr>
              <w:t>进料口尺寸</w:t>
            </w:r>
          </w:p>
          <w:p w:rsidR="00614D50" w:rsidRPr="004007E4" w:rsidRDefault="00614D50" w:rsidP="007D6ABD">
            <w:pPr>
              <w:jc w:val="center"/>
              <w:rPr>
                <w:rFonts w:ascii="Calibri" w:eastAsia="宋体" w:hAnsi="Calibri" w:cs="Arial"/>
                <w:b/>
                <w:bCs/>
                <w:sz w:val="18"/>
                <w:szCs w:val="18"/>
              </w:rPr>
            </w:pPr>
            <w:r w:rsidRPr="004007E4">
              <w:rPr>
                <w:rFonts w:ascii="Calibri" w:eastAsia="宋体" w:hAnsi="Calibri" w:cs="Arial" w:hint="eastAsia"/>
                <w:b/>
                <w:bCs/>
                <w:sz w:val="18"/>
                <w:szCs w:val="18"/>
                <w:lang w:val="es-MX"/>
              </w:rPr>
              <w:t>Feed Opening</w:t>
            </w:r>
          </w:p>
        </w:tc>
        <w:tc>
          <w:tcPr>
            <w:tcW w:w="1330" w:type="dxa"/>
            <w:vAlign w:val="center"/>
          </w:tcPr>
          <w:p w:rsidR="00614D50" w:rsidRPr="004007E4" w:rsidRDefault="00614D50" w:rsidP="000A64E2">
            <w:pPr>
              <w:jc w:val="center"/>
              <w:rPr>
                <w:rFonts w:ascii="Calibri" w:eastAsia="宋体" w:hAnsi="Calibri" w:cs="Arial"/>
                <w:b/>
                <w:bCs/>
                <w:sz w:val="18"/>
                <w:szCs w:val="18"/>
              </w:rPr>
            </w:pPr>
            <w:r w:rsidRPr="004007E4">
              <w:rPr>
                <w:rFonts w:ascii="Calibri" w:eastAsia="宋体" w:hAnsi="Calibri" w:cs="Arial" w:hint="eastAsia"/>
                <w:b/>
                <w:bCs/>
                <w:sz w:val="18"/>
                <w:szCs w:val="18"/>
              </w:rPr>
              <w:t>最大进料边长</w:t>
            </w:r>
          </w:p>
          <w:p w:rsidR="00614D50" w:rsidRPr="004007E4" w:rsidRDefault="00614D50" w:rsidP="000A64E2">
            <w:pPr>
              <w:jc w:val="center"/>
              <w:rPr>
                <w:rFonts w:ascii="Calibri" w:eastAsia="宋体" w:hAnsi="Calibri" w:cs="Arial"/>
                <w:b/>
                <w:bCs/>
                <w:sz w:val="18"/>
                <w:szCs w:val="18"/>
              </w:rPr>
            </w:pPr>
            <w:r w:rsidRPr="004007E4">
              <w:rPr>
                <w:rFonts w:ascii="Calibri" w:eastAsia="宋体" w:hAnsi="Calibri" w:cs="Arial" w:hint="eastAsia"/>
                <w:b/>
                <w:bCs/>
                <w:sz w:val="18"/>
                <w:szCs w:val="18"/>
              </w:rPr>
              <w:t>Max Feed Size</w:t>
            </w:r>
          </w:p>
        </w:tc>
        <w:tc>
          <w:tcPr>
            <w:tcW w:w="1356" w:type="dxa"/>
            <w:vAlign w:val="center"/>
          </w:tcPr>
          <w:p w:rsidR="00614D50" w:rsidRPr="004007E4" w:rsidRDefault="00614D50" w:rsidP="000A64E2">
            <w:pPr>
              <w:jc w:val="center"/>
              <w:rPr>
                <w:rFonts w:ascii="Calibri" w:eastAsia="宋体" w:hAnsi="Calibri" w:cs="Arial"/>
                <w:b/>
                <w:bCs/>
                <w:sz w:val="18"/>
                <w:szCs w:val="18"/>
              </w:rPr>
            </w:pPr>
            <w:r w:rsidRPr="004007E4">
              <w:rPr>
                <w:rFonts w:ascii="Calibri" w:eastAsia="宋体" w:hAnsi="Calibri" w:cs="Arial" w:hint="eastAsia"/>
                <w:b/>
                <w:bCs/>
                <w:sz w:val="18"/>
                <w:szCs w:val="18"/>
              </w:rPr>
              <w:t>生产能力</w:t>
            </w:r>
            <w:r w:rsidRPr="004007E4">
              <w:rPr>
                <w:rFonts w:hint="eastAsia"/>
                <w:b/>
                <w:bCs/>
                <w:sz w:val="18"/>
                <w:szCs w:val="18"/>
              </w:rPr>
              <w:t xml:space="preserve"> </w:t>
            </w:r>
            <w:r w:rsidRPr="004007E4">
              <w:rPr>
                <w:rFonts w:ascii="Calibri" w:eastAsia="宋体" w:hAnsi="Calibri" w:cs="Arial" w:hint="eastAsia"/>
                <w:b/>
                <w:bCs/>
                <w:sz w:val="18"/>
                <w:szCs w:val="18"/>
              </w:rPr>
              <w:t>Capacity</w:t>
            </w:r>
            <w:r w:rsidRPr="004007E4">
              <w:rPr>
                <w:rFonts w:ascii="Calibri" w:eastAsia="宋体" w:hAnsi="Calibri" w:cs="Arial" w:hint="eastAsia"/>
                <w:b/>
                <w:bCs/>
                <w:sz w:val="18"/>
                <w:szCs w:val="18"/>
              </w:rPr>
              <w:t>（</w:t>
            </w:r>
            <w:r w:rsidRPr="004007E4">
              <w:rPr>
                <w:rFonts w:hint="eastAsia"/>
                <w:b/>
                <w:bCs/>
                <w:sz w:val="18"/>
                <w:szCs w:val="18"/>
              </w:rPr>
              <w:t>t</w:t>
            </w:r>
            <w:r w:rsidRPr="004007E4">
              <w:rPr>
                <w:rFonts w:ascii="Calibri" w:eastAsia="宋体" w:hAnsi="Calibri" w:cs="Arial" w:hint="eastAsia"/>
                <w:b/>
                <w:bCs/>
                <w:sz w:val="18"/>
                <w:szCs w:val="18"/>
              </w:rPr>
              <w:t>/</w:t>
            </w:r>
            <w:r w:rsidRPr="004007E4">
              <w:rPr>
                <w:rFonts w:hint="eastAsia"/>
                <w:b/>
                <w:bCs/>
                <w:sz w:val="18"/>
                <w:szCs w:val="18"/>
              </w:rPr>
              <w:t>hr</w:t>
            </w:r>
            <w:r w:rsidRPr="004007E4">
              <w:rPr>
                <w:rFonts w:ascii="Calibri" w:eastAsia="宋体" w:hAnsi="Calibri" w:cs="Arial" w:hint="eastAsia"/>
                <w:b/>
                <w:bCs/>
                <w:sz w:val="18"/>
                <w:szCs w:val="18"/>
              </w:rPr>
              <w:t>）</w:t>
            </w:r>
          </w:p>
        </w:tc>
        <w:tc>
          <w:tcPr>
            <w:tcW w:w="1110" w:type="dxa"/>
            <w:vAlign w:val="center"/>
          </w:tcPr>
          <w:p w:rsidR="00614D50" w:rsidRPr="004007E4" w:rsidRDefault="00614D50" w:rsidP="000A64E2">
            <w:pPr>
              <w:jc w:val="center"/>
              <w:rPr>
                <w:rFonts w:ascii="Calibri" w:eastAsia="宋体" w:hAnsi="Calibri" w:cs="Arial"/>
                <w:b/>
                <w:bCs/>
                <w:sz w:val="18"/>
                <w:szCs w:val="18"/>
              </w:rPr>
            </w:pPr>
            <w:r w:rsidRPr="004007E4">
              <w:rPr>
                <w:rFonts w:ascii="Calibri" w:eastAsia="宋体" w:hAnsi="Calibri" w:cs="Arial" w:hint="eastAsia"/>
                <w:b/>
                <w:bCs/>
                <w:sz w:val="18"/>
                <w:szCs w:val="18"/>
              </w:rPr>
              <w:t>电机功率</w:t>
            </w:r>
            <w:r w:rsidRPr="004007E4">
              <w:rPr>
                <w:rFonts w:ascii="Calibri" w:eastAsia="宋体" w:hAnsi="Calibri" w:cs="Arial"/>
                <w:b/>
                <w:bCs/>
                <w:sz w:val="18"/>
                <w:szCs w:val="18"/>
                <w:lang w:val="es-MX"/>
              </w:rPr>
              <w:t xml:space="preserve"> </w:t>
            </w:r>
            <w:r w:rsidRPr="004007E4">
              <w:rPr>
                <w:rFonts w:ascii="Calibri" w:eastAsia="宋体" w:hAnsi="Calibri" w:cs="Arial" w:hint="eastAsia"/>
                <w:b/>
                <w:bCs/>
                <w:sz w:val="18"/>
                <w:szCs w:val="18"/>
                <w:lang w:val="es-MX"/>
              </w:rPr>
              <w:t>Power</w:t>
            </w:r>
          </w:p>
        </w:tc>
        <w:tc>
          <w:tcPr>
            <w:tcW w:w="2256" w:type="dxa"/>
            <w:vAlign w:val="center"/>
          </w:tcPr>
          <w:p w:rsidR="00614D50" w:rsidRPr="004007E4" w:rsidRDefault="00614D50" w:rsidP="000A64E2">
            <w:pPr>
              <w:jc w:val="center"/>
              <w:rPr>
                <w:rFonts w:ascii="Calibri" w:eastAsia="宋体" w:hAnsi="Calibri" w:cs="Arial"/>
                <w:b/>
                <w:bCs/>
                <w:sz w:val="18"/>
                <w:szCs w:val="18"/>
                <w:lang w:val="es-MX"/>
              </w:rPr>
            </w:pPr>
            <w:r w:rsidRPr="004007E4">
              <w:rPr>
                <w:rFonts w:ascii="Calibri" w:eastAsia="宋体" w:hAnsi="Calibri" w:cs="Arial" w:hint="eastAsia"/>
                <w:b/>
                <w:bCs/>
                <w:sz w:val="18"/>
                <w:szCs w:val="18"/>
              </w:rPr>
              <w:t>外型尺寸</w:t>
            </w:r>
          </w:p>
          <w:p w:rsidR="00614D50" w:rsidRPr="004007E4" w:rsidRDefault="00614D50" w:rsidP="000A64E2">
            <w:pPr>
              <w:jc w:val="center"/>
              <w:rPr>
                <w:rFonts w:ascii="Calibri" w:eastAsia="宋体" w:hAnsi="Calibri" w:cs="Arial"/>
                <w:b/>
                <w:bCs/>
                <w:sz w:val="18"/>
                <w:szCs w:val="18"/>
              </w:rPr>
            </w:pPr>
            <w:r w:rsidRPr="004007E4">
              <w:rPr>
                <w:rFonts w:ascii="Calibri" w:eastAsia="宋体" w:hAnsi="Calibri" w:cs="Arial" w:hint="eastAsia"/>
                <w:b/>
                <w:bCs/>
                <w:sz w:val="18"/>
                <w:szCs w:val="18"/>
                <w:lang w:val="es-MX"/>
              </w:rPr>
              <w:t>Overall Dimensions</w:t>
            </w:r>
            <w:r w:rsidRPr="004007E4">
              <w:rPr>
                <w:rFonts w:hint="eastAsia"/>
                <w:b/>
                <w:bCs/>
                <w:sz w:val="18"/>
                <w:szCs w:val="18"/>
                <w:lang w:val="es-MX"/>
              </w:rPr>
              <w:t xml:space="preserve"> </w:t>
            </w:r>
            <w:r w:rsidRPr="004007E4">
              <w:rPr>
                <w:rFonts w:ascii="Calibri" w:eastAsia="宋体" w:hAnsi="Calibri" w:cs="Arial" w:hint="eastAsia"/>
                <w:b/>
                <w:bCs/>
                <w:sz w:val="18"/>
                <w:szCs w:val="18"/>
                <w:lang w:val="es-MX"/>
              </w:rPr>
              <w:t>(LXWXH)</w:t>
            </w:r>
          </w:p>
        </w:tc>
        <w:tc>
          <w:tcPr>
            <w:tcW w:w="1716" w:type="dxa"/>
            <w:vAlign w:val="center"/>
          </w:tcPr>
          <w:p w:rsidR="00614D50" w:rsidRPr="004007E4" w:rsidRDefault="00614D50" w:rsidP="000A64E2">
            <w:pPr>
              <w:jc w:val="center"/>
              <w:rPr>
                <w:rFonts w:ascii="Calibri" w:eastAsia="宋体" w:hAnsi="Calibri" w:cs="Arial"/>
                <w:b/>
                <w:bCs/>
                <w:sz w:val="18"/>
                <w:szCs w:val="18"/>
              </w:rPr>
            </w:pPr>
            <w:r w:rsidRPr="004007E4">
              <w:rPr>
                <w:rFonts w:ascii="Calibri" w:eastAsia="宋体" w:hAnsi="Calibri" w:cs="Arial" w:hint="eastAsia"/>
                <w:b/>
                <w:bCs/>
                <w:sz w:val="18"/>
                <w:szCs w:val="18"/>
              </w:rPr>
              <w:t>重量</w:t>
            </w:r>
            <w:r w:rsidRPr="00614D50">
              <w:rPr>
                <w:rFonts w:hint="eastAsia"/>
                <w:b/>
                <w:bCs/>
                <w:sz w:val="18"/>
                <w:szCs w:val="18"/>
              </w:rPr>
              <w:t>(</w:t>
            </w:r>
            <w:r w:rsidRPr="00614D50">
              <w:rPr>
                <w:rFonts w:hint="eastAsia"/>
                <w:b/>
                <w:bCs/>
                <w:sz w:val="18"/>
                <w:szCs w:val="18"/>
              </w:rPr>
              <w:t>不含电机</w:t>
            </w:r>
            <w:r w:rsidRPr="00614D50">
              <w:rPr>
                <w:rFonts w:hint="eastAsia"/>
                <w:b/>
                <w:bCs/>
                <w:sz w:val="18"/>
                <w:szCs w:val="18"/>
              </w:rPr>
              <w:t>)</w:t>
            </w:r>
          </w:p>
          <w:p w:rsidR="00614D50" w:rsidRPr="004007E4" w:rsidRDefault="00614D50" w:rsidP="000A64E2">
            <w:pPr>
              <w:jc w:val="center"/>
              <w:rPr>
                <w:rFonts w:ascii="Calibri" w:eastAsia="宋体" w:hAnsi="Calibri" w:cs="Arial"/>
                <w:b/>
                <w:bCs/>
                <w:sz w:val="18"/>
                <w:szCs w:val="18"/>
              </w:rPr>
            </w:pPr>
            <w:r w:rsidRPr="00614D50">
              <w:rPr>
                <w:rFonts w:hint="eastAsia"/>
                <w:b/>
                <w:bCs/>
                <w:sz w:val="18"/>
                <w:szCs w:val="18"/>
              </w:rPr>
              <w:t>Weight</w:t>
            </w:r>
            <w:r w:rsidRPr="00614D50">
              <w:rPr>
                <w:rFonts w:hint="eastAsia"/>
                <w:b/>
                <w:bCs/>
                <w:sz w:val="18"/>
                <w:szCs w:val="18"/>
              </w:rPr>
              <w:t>（</w:t>
            </w:r>
            <w:r w:rsidRPr="00614D50">
              <w:rPr>
                <w:rFonts w:hint="eastAsia"/>
                <w:b/>
                <w:bCs/>
                <w:sz w:val="18"/>
                <w:szCs w:val="18"/>
              </w:rPr>
              <w:t>Excluding Motor</w:t>
            </w:r>
            <w:r w:rsidRPr="00614D50">
              <w:rPr>
                <w:rFonts w:hint="eastAsia"/>
                <w:b/>
                <w:bCs/>
                <w:sz w:val="18"/>
                <w:szCs w:val="18"/>
              </w:rPr>
              <w:t>）</w:t>
            </w:r>
            <w:r w:rsidRPr="00614D50">
              <w:rPr>
                <w:rFonts w:hint="eastAsia"/>
                <w:b/>
                <w:bCs/>
                <w:sz w:val="18"/>
                <w:szCs w:val="18"/>
              </w:rPr>
              <w:t>(t)</w:t>
            </w:r>
          </w:p>
        </w:tc>
      </w:tr>
      <w:tr w:rsidR="000A64E2" w:rsidRPr="004007E4" w:rsidTr="000A64E2">
        <w:trPr>
          <w:trHeight w:val="465"/>
          <w:jc w:val="center"/>
        </w:trPr>
        <w:tc>
          <w:tcPr>
            <w:tcW w:w="1082" w:type="dxa"/>
            <w:vAlign w:val="center"/>
          </w:tcPr>
          <w:p w:rsidR="000A64E2" w:rsidRPr="00AE4644" w:rsidRDefault="000A64E2" w:rsidP="00053A4C">
            <w:pPr>
              <w:jc w:val="center"/>
            </w:pPr>
            <w:r w:rsidRPr="00AE4644">
              <w:rPr>
                <w:rFonts w:hint="eastAsia"/>
              </w:rPr>
              <w:t>HC128</w:t>
            </w:r>
            <w:r>
              <w:rPr>
                <w:rFonts w:hint="eastAsia"/>
              </w:rPr>
              <w:t>(</w:t>
            </w:r>
            <w:r w:rsidRPr="00AE4644">
              <w:rPr>
                <w:rFonts w:hint="eastAsia"/>
              </w:rPr>
              <w:t>A)</w:t>
            </w:r>
          </w:p>
        </w:tc>
        <w:tc>
          <w:tcPr>
            <w:tcW w:w="1263" w:type="dxa"/>
            <w:vAlign w:val="center"/>
          </w:tcPr>
          <w:p w:rsidR="000A64E2" w:rsidRPr="00DD3A54" w:rsidRDefault="000A64E2" w:rsidP="007D6ABD">
            <w:pPr>
              <w:jc w:val="center"/>
            </w:pPr>
            <w:r>
              <w:rPr>
                <w:rFonts w:hint="eastAsia"/>
              </w:rPr>
              <w:t>78</w:t>
            </w:r>
            <w:r w:rsidRPr="00DD3A54">
              <w:t>0×630</w:t>
            </w:r>
          </w:p>
        </w:tc>
        <w:tc>
          <w:tcPr>
            <w:tcW w:w="1330" w:type="dxa"/>
            <w:vAlign w:val="center"/>
          </w:tcPr>
          <w:p w:rsidR="000A64E2" w:rsidRPr="007F2065" w:rsidRDefault="000A64E2" w:rsidP="000A64E2">
            <w:pPr>
              <w:jc w:val="center"/>
            </w:pPr>
            <w:r w:rsidRPr="007F2065">
              <w:t>300</w:t>
            </w:r>
          </w:p>
        </w:tc>
        <w:tc>
          <w:tcPr>
            <w:tcW w:w="1356" w:type="dxa"/>
            <w:vAlign w:val="center"/>
          </w:tcPr>
          <w:p w:rsidR="000A64E2" w:rsidRPr="00FC192A" w:rsidRDefault="000A64E2" w:rsidP="000A64E2">
            <w:pPr>
              <w:jc w:val="center"/>
            </w:pPr>
            <w:r w:rsidRPr="00FC192A">
              <w:t>50</w:t>
            </w:r>
            <w:r w:rsidR="003F5B5F">
              <w:rPr>
                <w:rFonts w:hint="eastAsia"/>
              </w:rPr>
              <w:t>-130</w:t>
            </w:r>
          </w:p>
        </w:tc>
        <w:tc>
          <w:tcPr>
            <w:tcW w:w="1110" w:type="dxa"/>
            <w:vAlign w:val="center"/>
          </w:tcPr>
          <w:p w:rsidR="000A64E2" w:rsidRPr="00CC7921" w:rsidRDefault="000A64E2" w:rsidP="000A64E2">
            <w:pPr>
              <w:jc w:val="center"/>
            </w:pPr>
            <w:r w:rsidRPr="00CC7921">
              <w:t>55-90</w:t>
            </w:r>
          </w:p>
        </w:tc>
        <w:tc>
          <w:tcPr>
            <w:tcW w:w="2256" w:type="dxa"/>
            <w:vAlign w:val="center"/>
          </w:tcPr>
          <w:p w:rsidR="000A64E2" w:rsidRPr="00065EDB" w:rsidRDefault="000A64E2" w:rsidP="000A64E2">
            <w:pPr>
              <w:jc w:val="center"/>
            </w:pPr>
            <w:r w:rsidRPr="00065EDB">
              <w:t>2890(3058)×1748×2932</w:t>
            </w:r>
          </w:p>
        </w:tc>
        <w:tc>
          <w:tcPr>
            <w:tcW w:w="1716" w:type="dxa"/>
            <w:vAlign w:val="center"/>
          </w:tcPr>
          <w:p w:rsidR="000A64E2" w:rsidRPr="00F9418D" w:rsidRDefault="000A64E2" w:rsidP="000A64E2">
            <w:pPr>
              <w:jc w:val="center"/>
            </w:pPr>
            <w:r w:rsidRPr="00F9418D">
              <w:t>10.8</w:t>
            </w:r>
          </w:p>
        </w:tc>
      </w:tr>
      <w:tr w:rsidR="000A64E2" w:rsidRPr="004007E4" w:rsidTr="000A64E2">
        <w:trPr>
          <w:trHeight w:val="400"/>
          <w:jc w:val="center"/>
        </w:trPr>
        <w:tc>
          <w:tcPr>
            <w:tcW w:w="1082" w:type="dxa"/>
            <w:vAlign w:val="center"/>
          </w:tcPr>
          <w:p w:rsidR="000A64E2" w:rsidRPr="00AE4644" w:rsidRDefault="000A64E2" w:rsidP="00053A4C">
            <w:pPr>
              <w:jc w:val="center"/>
            </w:pPr>
            <w:r w:rsidRPr="00AE4644">
              <w:rPr>
                <w:rFonts w:hint="eastAsia"/>
              </w:rPr>
              <w:t>HC139</w:t>
            </w:r>
            <w:r>
              <w:rPr>
                <w:rFonts w:hint="eastAsia"/>
              </w:rPr>
              <w:t>(</w:t>
            </w:r>
            <w:r w:rsidRPr="00AE4644">
              <w:rPr>
                <w:rFonts w:hint="eastAsia"/>
              </w:rPr>
              <w:t>A)</w:t>
            </w:r>
          </w:p>
        </w:tc>
        <w:tc>
          <w:tcPr>
            <w:tcW w:w="1263" w:type="dxa"/>
            <w:vAlign w:val="center"/>
          </w:tcPr>
          <w:p w:rsidR="000A64E2" w:rsidRPr="00DD3A54" w:rsidRDefault="000A64E2" w:rsidP="007D6ABD">
            <w:pPr>
              <w:jc w:val="center"/>
            </w:pPr>
            <w:r w:rsidRPr="00DD3A54">
              <w:t>1100×630</w:t>
            </w:r>
          </w:p>
        </w:tc>
        <w:tc>
          <w:tcPr>
            <w:tcW w:w="1330" w:type="dxa"/>
            <w:vAlign w:val="center"/>
          </w:tcPr>
          <w:p w:rsidR="000A64E2" w:rsidRPr="007F2065" w:rsidRDefault="000A64E2" w:rsidP="000A64E2">
            <w:pPr>
              <w:jc w:val="center"/>
            </w:pPr>
            <w:r w:rsidRPr="007F2065">
              <w:t>400</w:t>
            </w:r>
          </w:p>
        </w:tc>
        <w:tc>
          <w:tcPr>
            <w:tcW w:w="1356" w:type="dxa"/>
            <w:vAlign w:val="center"/>
          </w:tcPr>
          <w:p w:rsidR="000A64E2" w:rsidRPr="00FC192A" w:rsidRDefault="000A64E2" w:rsidP="000A64E2">
            <w:pPr>
              <w:jc w:val="center"/>
            </w:pPr>
            <w:r w:rsidRPr="00FC192A">
              <w:t>130</w:t>
            </w:r>
            <w:r w:rsidR="003F5B5F">
              <w:rPr>
                <w:rFonts w:hint="eastAsia"/>
              </w:rPr>
              <w:t>-210</w:t>
            </w:r>
          </w:p>
        </w:tc>
        <w:tc>
          <w:tcPr>
            <w:tcW w:w="1110" w:type="dxa"/>
            <w:vAlign w:val="center"/>
          </w:tcPr>
          <w:p w:rsidR="000A64E2" w:rsidRPr="00CC7921" w:rsidRDefault="000A64E2" w:rsidP="000A64E2">
            <w:pPr>
              <w:jc w:val="center"/>
            </w:pPr>
            <w:r w:rsidRPr="00CC7921">
              <w:t>90-132</w:t>
            </w:r>
          </w:p>
        </w:tc>
        <w:tc>
          <w:tcPr>
            <w:tcW w:w="2256" w:type="dxa"/>
            <w:vAlign w:val="center"/>
          </w:tcPr>
          <w:p w:rsidR="000A64E2" w:rsidRPr="00065EDB" w:rsidRDefault="000A64E2" w:rsidP="000A64E2">
            <w:pPr>
              <w:jc w:val="center"/>
            </w:pPr>
            <w:r w:rsidRPr="00065EDB">
              <w:t>2890(3058)×2048×2932</w:t>
            </w:r>
          </w:p>
        </w:tc>
        <w:tc>
          <w:tcPr>
            <w:tcW w:w="1716" w:type="dxa"/>
            <w:vAlign w:val="center"/>
          </w:tcPr>
          <w:p w:rsidR="000A64E2" w:rsidRPr="00F9418D" w:rsidRDefault="000A64E2" w:rsidP="000A64E2">
            <w:pPr>
              <w:jc w:val="center"/>
            </w:pPr>
            <w:r w:rsidRPr="00F9418D">
              <w:t>13.6</w:t>
            </w:r>
          </w:p>
        </w:tc>
      </w:tr>
      <w:tr w:rsidR="000A64E2" w:rsidRPr="004007E4" w:rsidTr="000A64E2">
        <w:trPr>
          <w:trHeight w:val="421"/>
          <w:jc w:val="center"/>
        </w:trPr>
        <w:tc>
          <w:tcPr>
            <w:tcW w:w="1082" w:type="dxa"/>
            <w:vAlign w:val="center"/>
          </w:tcPr>
          <w:p w:rsidR="000A64E2" w:rsidRPr="00AE4644" w:rsidRDefault="000A64E2" w:rsidP="00053A4C">
            <w:pPr>
              <w:jc w:val="center"/>
            </w:pPr>
            <w:r w:rsidRPr="00AE4644">
              <w:rPr>
                <w:rFonts w:hint="eastAsia"/>
              </w:rPr>
              <w:t>HC239</w:t>
            </w:r>
            <w:r>
              <w:rPr>
                <w:rFonts w:hint="eastAsia"/>
              </w:rPr>
              <w:t>(</w:t>
            </w:r>
            <w:r w:rsidRPr="00AE4644">
              <w:rPr>
                <w:rFonts w:hint="eastAsia"/>
              </w:rPr>
              <w:t>A)</w:t>
            </w:r>
          </w:p>
        </w:tc>
        <w:tc>
          <w:tcPr>
            <w:tcW w:w="1263" w:type="dxa"/>
            <w:vAlign w:val="center"/>
          </w:tcPr>
          <w:p w:rsidR="000A64E2" w:rsidRPr="00DD3A54" w:rsidRDefault="000A64E2" w:rsidP="007D6ABD">
            <w:pPr>
              <w:jc w:val="center"/>
            </w:pPr>
            <w:r w:rsidRPr="00DD3A54">
              <w:t>1100×740</w:t>
            </w:r>
          </w:p>
        </w:tc>
        <w:tc>
          <w:tcPr>
            <w:tcW w:w="1330" w:type="dxa"/>
            <w:vAlign w:val="center"/>
          </w:tcPr>
          <w:p w:rsidR="000A64E2" w:rsidRPr="007F2065" w:rsidRDefault="000A64E2" w:rsidP="000A64E2">
            <w:pPr>
              <w:jc w:val="center"/>
            </w:pPr>
            <w:r w:rsidRPr="007F2065">
              <w:t>500</w:t>
            </w:r>
          </w:p>
        </w:tc>
        <w:tc>
          <w:tcPr>
            <w:tcW w:w="1356" w:type="dxa"/>
            <w:vAlign w:val="center"/>
          </w:tcPr>
          <w:p w:rsidR="000A64E2" w:rsidRPr="00FC192A" w:rsidRDefault="000A64E2" w:rsidP="000A64E2">
            <w:pPr>
              <w:jc w:val="center"/>
            </w:pPr>
            <w:r w:rsidRPr="00FC192A">
              <w:t>180</w:t>
            </w:r>
            <w:r w:rsidR="003F5B5F">
              <w:rPr>
                <w:rFonts w:hint="eastAsia"/>
              </w:rPr>
              <w:t>-280</w:t>
            </w:r>
          </w:p>
        </w:tc>
        <w:tc>
          <w:tcPr>
            <w:tcW w:w="1110" w:type="dxa"/>
            <w:vAlign w:val="center"/>
          </w:tcPr>
          <w:p w:rsidR="000A64E2" w:rsidRPr="00CC7921" w:rsidRDefault="000A64E2" w:rsidP="000A64E2">
            <w:pPr>
              <w:jc w:val="center"/>
            </w:pPr>
            <w:r w:rsidRPr="00CC7921">
              <w:t>110-160</w:t>
            </w:r>
          </w:p>
        </w:tc>
        <w:tc>
          <w:tcPr>
            <w:tcW w:w="2256" w:type="dxa"/>
            <w:vAlign w:val="center"/>
          </w:tcPr>
          <w:p w:rsidR="000A64E2" w:rsidRPr="00065EDB" w:rsidRDefault="000A64E2" w:rsidP="000A64E2">
            <w:pPr>
              <w:jc w:val="center"/>
            </w:pPr>
            <w:r w:rsidRPr="00065EDB">
              <w:t>2926(3095)×2048×2864</w:t>
            </w:r>
          </w:p>
        </w:tc>
        <w:tc>
          <w:tcPr>
            <w:tcW w:w="1716" w:type="dxa"/>
            <w:vAlign w:val="center"/>
          </w:tcPr>
          <w:p w:rsidR="000A64E2" w:rsidRPr="00F9418D" w:rsidRDefault="000A64E2" w:rsidP="000A64E2">
            <w:pPr>
              <w:jc w:val="center"/>
            </w:pPr>
            <w:r w:rsidRPr="00F9418D">
              <w:t>14.7</w:t>
            </w:r>
          </w:p>
        </w:tc>
      </w:tr>
      <w:tr w:rsidR="000A64E2" w:rsidRPr="004007E4" w:rsidTr="000A64E2">
        <w:trPr>
          <w:trHeight w:val="413"/>
          <w:jc w:val="center"/>
        </w:trPr>
        <w:tc>
          <w:tcPr>
            <w:tcW w:w="1082" w:type="dxa"/>
            <w:vAlign w:val="center"/>
          </w:tcPr>
          <w:p w:rsidR="000A64E2" w:rsidRPr="00AE4644" w:rsidRDefault="000A64E2" w:rsidP="00053A4C">
            <w:pPr>
              <w:jc w:val="center"/>
            </w:pPr>
            <w:r w:rsidRPr="00AE4644">
              <w:rPr>
                <w:rFonts w:hint="eastAsia"/>
              </w:rPr>
              <w:t>HC255</w:t>
            </w:r>
            <w:r>
              <w:rPr>
                <w:rFonts w:hint="eastAsia"/>
              </w:rPr>
              <w:t>(</w:t>
            </w:r>
            <w:r w:rsidRPr="00AE4644">
              <w:rPr>
                <w:rFonts w:hint="eastAsia"/>
              </w:rPr>
              <w:t>A)</w:t>
            </w:r>
          </w:p>
        </w:tc>
        <w:tc>
          <w:tcPr>
            <w:tcW w:w="1263" w:type="dxa"/>
            <w:vAlign w:val="center"/>
          </w:tcPr>
          <w:p w:rsidR="000A64E2" w:rsidRPr="00DD3A54" w:rsidRDefault="000A64E2" w:rsidP="007D6ABD">
            <w:pPr>
              <w:jc w:val="center"/>
            </w:pPr>
            <w:r w:rsidRPr="00DD3A54">
              <w:t>1450×760</w:t>
            </w:r>
          </w:p>
        </w:tc>
        <w:tc>
          <w:tcPr>
            <w:tcW w:w="1330" w:type="dxa"/>
            <w:vAlign w:val="center"/>
          </w:tcPr>
          <w:p w:rsidR="000A64E2" w:rsidRPr="007F2065" w:rsidRDefault="000A64E2" w:rsidP="000A64E2">
            <w:pPr>
              <w:jc w:val="center"/>
            </w:pPr>
            <w:r w:rsidRPr="007F2065">
              <w:t>500</w:t>
            </w:r>
          </w:p>
        </w:tc>
        <w:tc>
          <w:tcPr>
            <w:tcW w:w="1356" w:type="dxa"/>
            <w:vAlign w:val="center"/>
          </w:tcPr>
          <w:p w:rsidR="000A64E2" w:rsidRPr="00FC192A" w:rsidRDefault="000A64E2" w:rsidP="000A64E2">
            <w:pPr>
              <w:jc w:val="center"/>
            </w:pPr>
            <w:r w:rsidRPr="00FC192A">
              <w:t>200</w:t>
            </w:r>
            <w:r w:rsidR="003F5B5F">
              <w:rPr>
                <w:rFonts w:hint="eastAsia"/>
              </w:rPr>
              <w:t>-300</w:t>
            </w:r>
          </w:p>
        </w:tc>
        <w:tc>
          <w:tcPr>
            <w:tcW w:w="1110" w:type="dxa"/>
            <w:vAlign w:val="center"/>
          </w:tcPr>
          <w:p w:rsidR="000A64E2" w:rsidRPr="00CC7921" w:rsidRDefault="000A64E2" w:rsidP="000A64E2">
            <w:pPr>
              <w:jc w:val="center"/>
            </w:pPr>
            <w:r w:rsidRPr="00CC7921">
              <w:t>160-200</w:t>
            </w:r>
          </w:p>
        </w:tc>
        <w:tc>
          <w:tcPr>
            <w:tcW w:w="2256" w:type="dxa"/>
            <w:vAlign w:val="center"/>
          </w:tcPr>
          <w:p w:rsidR="000A64E2" w:rsidRPr="00065EDB" w:rsidRDefault="000A64E2" w:rsidP="000A64E2">
            <w:pPr>
              <w:jc w:val="center"/>
            </w:pPr>
            <w:r w:rsidRPr="00065EDB">
              <w:t>2893(3095)×2398×2970</w:t>
            </w:r>
          </w:p>
        </w:tc>
        <w:tc>
          <w:tcPr>
            <w:tcW w:w="1716" w:type="dxa"/>
            <w:vAlign w:val="center"/>
          </w:tcPr>
          <w:p w:rsidR="000A64E2" w:rsidRPr="00F9418D" w:rsidRDefault="000A64E2" w:rsidP="000A64E2">
            <w:pPr>
              <w:jc w:val="center"/>
            </w:pPr>
            <w:r w:rsidRPr="00F9418D">
              <w:t>17.4</w:t>
            </w:r>
          </w:p>
        </w:tc>
      </w:tr>
      <w:tr w:rsidR="000A64E2" w:rsidRPr="004007E4" w:rsidTr="000A64E2">
        <w:trPr>
          <w:trHeight w:val="419"/>
          <w:jc w:val="center"/>
        </w:trPr>
        <w:tc>
          <w:tcPr>
            <w:tcW w:w="1082" w:type="dxa"/>
            <w:vAlign w:val="center"/>
          </w:tcPr>
          <w:p w:rsidR="000A64E2" w:rsidRPr="00AE4644" w:rsidRDefault="000A64E2" w:rsidP="00053A4C">
            <w:pPr>
              <w:jc w:val="center"/>
            </w:pPr>
            <w:r w:rsidRPr="00AE4644">
              <w:rPr>
                <w:rFonts w:hint="eastAsia"/>
              </w:rPr>
              <w:t>HC359</w:t>
            </w:r>
            <w:r>
              <w:rPr>
                <w:rFonts w:hint="eastAsia"/>
              </w:rPr>
              <w:t>(</w:t>
            </w:r>
            <w:r w:rsidRPr="00AE4644">
              <w:rPr>
                <w:rFonts w:hint="eastAsia"/>
              </w:rPr>
              <w:t>A)</w:t>
            </w:r>
          </w:p>
        </w:tc>
        <w:tc>
          <w:tcPr>
            <w:tcW w:w="1263" w:type="dxa"/>
            <w:vAlign w:val="center"/>
          </w:tcPr>
          <w:p w:rsidR="000A64E2" w:rsidRPr="00DD3A54" w:rsidRDefault="000A64E2" w:rsidP="007D6ABD">
            <w:pPr>
              <w:jc w:val="center"/>
            </w:pPr>
            <w:r w:rsidRPr="00DD3A54">
              <w:t>1550x1070</w:t>
            </w:r>
          </w:p>
        </w:tc>
        <w:tc>
          <w:tcPr>
            <w:tcW w:w="1330" w:type="dxa"/>
            <w:vAlign w:val="center"/>
          </w:tcPr>
          <w:p w:rsidR="000A64E2" w:rsidRPr="007F2065" w:rsidRDefault="000A64E2" w:rsidP="000A64E2">
            <w:pPr>
              <w:jc w:val="center"/>
            </w:pPr>
            <w:r w:rsidRPr="007F2065">
              <w:t>700</w:t>
            </w:r>
          </w:p>
        </w:tc>
        <w:tc>
          <w:tcPr>
            <w:tcW w:w="1356" w:type="dxa"/>
            <w:vAlign w:val="center"/>
          </w:tcPr>
          <w:p w:rsidR="000A64E2" w:rsidRPr="00FC192A" w:rsidRDefault="000A64E2" w:rsidP="000A64E2">
            <w:pPr>
              <w:jc w:val="center"/>
            </w:pPr>
            <w:r w:rsidRPr="00FC192A">
              <w:t>220</w:t>
            </w:r>
            <w:r w:rsidR="003F5B5F">
              <w:rPr>
                <w:rFonts w:hint="eastAsia"/>
              </w:rPr>
              <w:t>-330</w:t>
            </w:r>
          </w:p>
        </w:tc>
        <w:tc>
          <w:tcPr>
            <w:tcW w:w="1110" w:type="dxa"/>
            <w:vAlign w:val="center"/>
          </w:tcPr>
          <w:p w:rsidR="000A64E2" w:rsidRPr="00CC7921" w:rsidRDefault="000A64E2" w:rsidP="000A64E2">
            <w:pPr>
              <w:jc w:val="center"/>
            </w:pPr>
            <w:r w:rsidRPr="00CC7921">
              <w:t>200-250</w:t>
            </w:r>
          </w:p>
        </w:tc>
        <w:tc>
          <w:tcPr>
            <w:tcW w:w="2256" w:type="dxa"/>
            <w:vAlign w:val="center"/>
          </w:tcPr>
          <w:p w:rsidR="000A64E2" w:rsidRPr="00065EDB" w:rsidRDefault="000A64E2" w:rsidP="000A64E2">
            <w:pPr>
              <w:jc w:val="center"/>
            </w:pPr>
            <w:r w:rsidRPr="00065EDB">
              <w:t>3700x3025x3240</w:t>
            </w:r>
          </w:p>
        </w:tc>
        <w:tc>
          <w:tcPr>
            <w:tcW w:w="1716" w:type="dxa"/>
            <w:vAlign w:val="center"/>
          </w:tcPr>
          <w:p w:rsidR="000A64E2" w:rsidRPr="00F9418D" w:rsidRDefault="000A64E2" w:rsidP="000A64E2">
            <w:pPr>
              <w:jc w:val="center"/>
            </w:pPr>
            <w:r w:rsidRPr="00F9418D">
              <w:t>25.7</w:t>
            </w:r>
          </w:p>
        </w:tc>
      </w:tr>
      <w:tr w:rsidR="000A64E2" w:rsidRPr="004007E4" w:rsidTr="000A64E2">
        <w:trPr>
          <w:trHeight w:val="424"/>
          <w:jc w:val="center"/>
        </w:trPr>
        <w:tc>
          <w:tcPr>
            <w:tcW w:w="1082" w:type="dxa"/>
            <w:vAlign w:val="center"/>
          </w:tcPr>
          <w:p w:rsidR="000A64E2" w:rsidRPr="00AE4644" w:rsidRDefault="000A64E2" w:rsidP="00053A4C">
            <w:pPr>
              <w:jc w:val="center"/>
            </w:pPr>
            <w:r w:rsidRPr="00AE4644">
              <w:rPr>
                <w:rFonts w:hint="eastAsia"/>
              </w:rPr>
              <w:t>HC459</w:t>
            </w:r>
            <w:r>
              <w:rPr>
                <w:rFonts w:hint="eastAsia"/>
              </w:rPr>
              <w:t>(</w:t>
            </w:r>
            <w:r w:rsidRPr="00AE4644">
              <w:rPr>
                <w:rFonts w:hint="eastAsia"/>
              </w:rPr>
              <w:t>A)</w:t>
            </w:r>
          </w:p>
        </w:tc>
        <w:tc>
          <w:tcPr>
            <w:tcW w:w="1263" w:type="dxa"/>
            <w:vAlign w:val="center"/>
          </w:tcPr>
          <w:p w:rsidR="000A64E2" w:rsidRPr="00DD3A54" w:rsidRDefault="000A64E2" w:rsidP="007D6ABD">
            <w:pPr>
              <w:jc w:val="center"/>
            </w:pPr>
            <w:r w:rsidRPr="00DD3A54">
              <w:t>1550x1130</w:t>
            </w:r>
          </w:p>
        </w:tc>
        <w:tc>
          <w:tcPr>
            <w:tcW w:w="1330" w:type="dxa"/>
            <w:vAlign w:val="center"/>
          </w:tcPr>
          <w:p w:rsidR="000A64E2" w:rsidRPr="007F2065" w:rsidRDefault="000A64E2" w:rsidP="000A64E2">
            <w:pPr>
              <w:jc w:val="center"/>
            </w:pPr>
            <w:r w:rsidRPr="007F2065">
              <w:t>750</w:t>
            </w:r>
          </w:p>
        </w:tc>
        <w:tc>
          <w:tcPr>
            <w:tcW w:w="1356" w:type="dxa"/>
            <w:vAlign w:val="center"/>
          </w:tcPr>
          <w:p w:rsidR="000A64E2" w:rsidRPr="00FC192A" w:rsidRDefault="000A64E2" w:rsidP="000A64E2">
            <w:pPr>
              <w:jc w:val="center"/>
            </w:pPr>
            <w:r w:rsidRPr="00FC192A">
              <w:t>300</w:t>
            </w:r>
            <w:r w:rsidR="003F5B5F">
              <w:rPr>
                <w:rFonts w:hint="eastAsia"/>
              </w:rPr>
              <w:t>-460</w:t>
            </w:r>
          </w:p>
        </w:tc>
        <w:tc>
          <w:tcPr>
            <w:tcW w:w="1110" w:type="dxa"/>
            <w:vAlign w:val="center"/>
          </w:tcPr>
          <w:p w:rsidR="000A64E2" w:rsidRPr="00CC7921" w:rsidRDefault="000A64E2" w:rsidP="000A64E2">
            <w:pPr>
              <w:jc w:val="center"/>
            </w:pPr>
            <w:r w:rsidRPr="00CC7921">
              <w:t>250-315</w:t>
            </w:r>
          </w:p>
        </w:tc>
        <w:tc>
          <w:tcPr>
            <w:tcW w:w="2256" w:type="dxa"/>
            <w:vAlign w:val="center"/>
          </w:tcPr>
          <w:p w:rsidR="000A64E2" w:rsidRPr="00065EDB" w:rsidRDefault="000A64E2" w:rsidP="000A64E2">
            <w:pPr>
              <w:jc w:val="center"/>
            </w:pPr>
            <w:r w:rsidRPr="00065EDB">
              <w:t>3750(3754)x3022x3330</w:t>
            </w:r>
          </w:p>
        </w:tc>
        <w:tc>
          <w:tcPr>
            <w:tcW w:w="1716" w:type="dxa"/>
            <w:vAlign w:val="center"/>
          </w:tcPr>
          <w:p w:rsidR="000A64E2" w:rsidRPr="00F9418D" w:rsidRDefault="000A64E2" w:rsidP="000A64E2">
            <w:pPr>
              <w:jc w:val="center"/>
            </w:pPr>
            <w:r w:rsidRPr="00F9418D">
              <w:t>27.1</w:t>
            </w:r>
          </w:p>
        </w:tc>
      </w:tr>
      <w:tr w:rsidR="000A64E2" w:rsidRPr="004007E4" w:rsidTr="000A64E2">
        <w:trPr>
          <w:trHeight w:val="417"/>
          <w:jc w:val="center"/>
        </w:trPr>
        <w:tc>
          <w:tcPr>
            <w:tcW w:w="1082" w:type="dxa"/>
            <w:vAlign w:val="center"/>
          </w:tcPr>
          <w:p w:rsidR="000A64E2" w:rsidRPr="00AE4644" w:rsidRDefault="000A64E2" w:rsidP="00053A4C">
            <w:pPr>
              <w:jc w:val="center"/>
            </w:pPr>
            <w:r w:rsidRPr="00AE4644">
              <w:rPr>
                <w:rFonts w:hint="eastAsia"/>
              </w:rPr>
              <w:t>HC579</w:t>
            </w:r>
            <w:r>
              <w:rPr>
                <w:rFonts w:hint="eastAsia"/>
              </w:rPr>
              <w:t>(</w:t>
            </w:r>
            <w:r w:rsidRPr="00AE4644">
              <w:rPr>
                <w:rFonts w:hint="eastAsia"/>
              </w:rPr>
              <w:t>A)</w:t>
            </w:r>
          </w:p>
        </w:tc>
        <w:tc>
          <w:tcPr>
            <w:tcW w:w="1263" w:type="dxa"/>
            <w:vAlign w:val="center"/>
          </w:tcPr>
          <w:p w:rsidR="000A64E2" w:rsidRPr="00DD3A54" w:rsidRDefault="000A64E2" w:rsidP="007D6ABD">
            <w:pPr>
              <w:jc w:val="center"/>
            </w:pPr>
            <w:r w:rsidRPr="00DD3A54">
              <w:t>2050×830</w:t>
            </w:r>
          </w:p>
        </w:tc>
        <w:tc>
          <w:tcPr>
            <w:tcW w:w="1330" w:type="dxa"/>
            <w:vAlign w:val="center"/>
          </w:tcPr>
          <w:p w:rsidR="000A64E2" w:rsidRPr="007F2065" w:rsidRDefault="000A64E2" w:rsidP="000A64E2">
            <w:pPr>
              <w:jc w:val="center"/>
            </w:pPr>
            <w:r w:rsidRPr="007F2065">
              <w:t>800</w:t>
            </w:r>
          </w:p>
        </w:tc>
        <w:tc>
          <w:tcPr>
            <w:tcW w:w="1356" w:type="dxa"/>
            <w:vAlign w:val="center"/>
          </w:tcPr>
          <w:p w:rsidR="000A64E2" w:rsidRPr="00FC192A" w:rsidRDefault="000A64E2" w:rsidP="000A64E2">
            <w:pPr>
              <w:jc w:val="center"/>
            </w:pPr>
            <w:r w:rsidRPr="00FC192A">
              <w:t>320</w:t>
            </w:r>
            <w:r w:rsidR="003F5B5F">
              <w:rPr>
                <w:rFonts w:hint="eastAsia"/>
              </w:rPr>
              <w:t>-490</w:t>
            </w:r>
          </w:p>
        </w:tc>
        <w:tc>
          <w:tcPr>
            <w:tcW w:w="1110" w:type="dxa"/>
            <w:vAlign w:val="center"/>
          </w:tcPr>
          <w:p w:rsidR="000A64E2" w:rsidRPr="00CC7921" w:rsidRDefault="000A64E2" w:rsidP="000A64E2">
            <w:pPr>
              <w:jc w:val="center"/>
            </w:pPr>
            <w:r w:rsidRPr="00CC7921">
              <w:t>400-440</w:t>
            </w:r>
          </w:p>
        </w:tc>
        <w:tc>
          <w:tcPr>
            <w:tcW w:w="2256" w:type="dxa"/>
            <w:vAlign w:val="center"/>
          </w:tcPr>
          <w:p w:rsidR="000A64E2" w:rsidRPr="00065EDB" w:rsidRDefault="000A64E2" w:rsidP="000A64E2">
            <w:pPr>
              <w:jc w:val="center"/>
            </w:pPr>
            <w:r w:rsidRPr="00065EDB">
              <w:t>3582×3561×3266</w:t>
            </w:r>
          </w:p>
        </w:tc>
        <w:tc>
          <w:tcPr>
            <w:tcW w:w="1716" w:type="dxa"/>
            <w:vAlign w:val="center"/>
          </w:tcPr>
          <w:p w:rsidR="000A64E2" w:rsidRPr="00F9418D" w:rsidRDefault="000A64E2" w:rsidP="000A64E2">
            <w:pPr>
              <w:jc w:val="center"/>
            </w:pPr>
            <w:r w:rsidRPr="00F9418D">
              <w:t>36.3</w:t>
            </w:r>
          </w:p>
        </w:tc>
      </w:tr>
      <w:tr w:rsidR="000A64E2" w:rsidRPr="004007E4" w:rsidTr="000A64E2">
        <w:trPr>
          <w:trHeight w:val="409"/>
          <w:jc w:val="center"/>
        </w:trPr>
        <w:tc>
          <w:tcPr>
            <w:tcW w:w="1082" w:type="dxa"/>
            <w:vAlign w:val="center"/>
          </w:tcPr>
          <w:p w:rsidR="000A64E2" w:rsidRPr="00AE4644" w:rsidRDefault="000A64E2" w:rsidP="00053A4C">
            <w:pPr>
              <w:jc w:val="center"/>
            </w:pPr>
            <w:r w:rsidRPr="00AE4644">
              <w:rPr>
                <w:rFonts w:hint="eastAsia"/>
              </w:rPr>
              <w:t>HC679</w:t>
            </w:r>
            <w:r>
              <w:rPr>
                <w:rFonts w:hint="eastAsia"/>
              </w:rPr>
              <w:t>(</w:t>
            </w:r>
            <w:r w:rsidRPr="00AE4644">
              <w:rPr>
                <w:rFonts w:hint="eastAsia"/>
              </w:rPr>
              <w:t>A)</w:t>
            </w:r>
          </w:p>
        </w:tc>
        <w:tc>
          <w:tcPr>
            <w:tcW w:w="1263" w:type="dxa"/>
            <w:vAlign w:val="center"/>
          </w:tcPr>
          <w:p w:rsidR="000A64E2" w:rsidRPr="00DD3A54" w:rsidRDefault="000A64E2" w:rsidP="007D6ABD">
            <w:pPr>
              <w:jc w:val="center"/>
            </w:pPr>
            <w:r w:rsidRPr="00DD3A54">
              <w:t>2050x1230</w:t>
            </w:r>
          </w:p>
        </w:tc>
        <w:tc>
          <w:tcPr>
            <w:tcW w:w="1330" w:type="dxa"/>
            <w:vAlign w:val="center"/>
          </w:tcPr>
          <w:p w:rsidR="000A64E2" w:rsidRPr="007F2065" w:rsidRDefault="000A64E2" w:rsidP="000A64E2">
            <w:pPr>
              <w:jc w:val="center"/>
            </w:pPr>
            <w:r w:rsidRPr="007F2065">
              <w:t>1100</w:t>
            </w:r>
          </w:p>
        </w:tc>
        <w:tc>
          <w:tcPr>
            <w:tcW w:w="1356" w:type="dxa"/>
            <w:vAlign w:val="center"/>
          </w:tcPr>
          <w:p w:rsidR="000A64E2" w:rsidRPr="00FC192A" w:rsidRDefault="000A64E2" w:rsidP="000A64E2">
            <w:pPr>
              <w:jc w:val="center"/>
            </w:pPr>
            <w:r w:rsidRPr="00FC192A">
              <w:t>480</w:t>
            </w:r>
            <w:r w:rsidR="003F5B5F">
              <w:rPr>
                <w:rFonts w:hint="eastAsia"/>
              </w:rPr>
              <w:t>-750</w:t>
            </w:r>
          </w:p>
        </w:tc>
        <w:tc>
          <w:tcPr>
            <w:tcW w:w="1110" w:type="dxa"/>
            <w:vAlign w:val="center"/>
          </w:tcPr>
          <w:p w:rsidR="000A64E2" w:rsidRPr="00CC7921" w:rsidRDefault="000A64E2" w:rsidP="000A64E2">
            <w:pPr>
              <w:jc w:val="center"/>
            </w:pPr>
            <w:r w:rsidRPr="00CC7921">
              <w:t>400-440</w:t>
            </w:r>
          </w:p>
        </w:tc>
        <w:tc>
          <w:tcPr>
            <w:tcW w:w="2256" w:type="dxa"/>
            <w:vAlign w:val="center"/>
          </w:tcPr>
          <w:p w:rsidR="000A64E2" w:rsidRPr="00065EDB" w:rsidRDefault="000A64E2" w:rsidP="000A64E2">
            <w:pPr>
              <w:jc w:val="center"/>
            </w:pPr>
            <w:r w:rsidRPr="00065EDB">
              <w:t>3900x3600x3500</w:t>
            </w:r>
          </w:p>
        </w:tc>
        <w:tc>
          <w:tcPr>
            <w:tcW w:w="1716" w:type="dxa"/>
            <w:vAlign w:val="center"/>
          </w:tcPr>
          <w:p w:rsidR="000A64E2" w:rsidRPr="00F9418D" w:rsidRDefault="000A64E2" w:rsidP="000A64E2">
            <w:pPr>
              <w:jc w:val="center"/>
            </w:pPr>
            <w:r w:rsidRPr="00F9418D">
              <w:t>50.5</w:t>
            </w:r>
          </w:p>
        </w:tc>
      </w:tr>
      <w:tr w:rsidR="000A64E2" w:rsidRPr="004007E4" w:rsidTr="000A64E2">
        <w:trPr>
          <w:trHeight w:val="415"/>
          <w:jc w:val="center"/>
        </w:trPr>
        <w:tc>
          <w:tcPr>
            <w:tcW w:w="1082" w:type="dxa"/>
            <w:vAlign w:val="center"/>
          </w:tcPr>
          <w:p w:rsidR="000A64E2" w:rsidRPr="00AE4644" w:rsidRDefault="000A64E2" w:rsidP="00053A4C">
            <w:pPr>
              <w:jc w:val="center"/>
            </w:pPr>
            <w:r w:rsidRPr="00AE4644">
              <w:rPr>
                <w:rFonts w:hint="eastAsia"/>
              </w:rPr>
              <w:t>HC779</w:t>
            </w:r>
            <w:r>
              <w:rPr>
                <w:rFonts w:hint="eastAsia"/>
              </w:rPr>
              <w:t>(</w:t>
            </w:r>
            <w:r w:rsidRPr="00AE4644">
              <w:rPr>
                <w:rFonts w:hint="eastAsia"/>
              </w:rPr>
              <w:t>A)</w:t>
            </w:r>
          </w:p>
        </w:tc>
        <w:tc>
          <w:tcPr>
            <w:tcW w:w="1263" w:type="dxa"/>
            <w:vAlign w:val="center"/>
          </w:tcPr>
          <w:p w:rsidR="000A64E2" w:rsidRPr="00DD3A54" w:rsidRDefault="000A64E2" w:rsidP="007D6ABD">
            <w:pPr>
              <w:jc w:val="center"/>
            </w:pPr>
            <w:r w:rsidRPr="00DD3A54">
              <w:t>2050x1670</w:t>
            </w:r>
          </w:p>
        </w:tc>
        <w:tc>
          <w:tcPr>
            <w:tcW w:w="1330" w:type="dxa"/>
            <w:vAlign w:val="center"/>
          </w:tcPr>
          <w:p w:rsidR="000A64E2" w:rsidRPr="007F2065" w:rsidRDefault="000A64E2" w:rsidP="000A64E2">
            <w:pPr>
              <w:jc w:val="center"/>
            </w:pPr>
            <w:r w:rsidRPr="007F2065">
              <w:t>1500</w:t>
            </w:r>
          </w:p>
        </w:tc>
        <w:tc>
          <w:tcPr>
            <w:tcW w:w="1356" w:type="dxa"/>
            <w:vAlign w:val="center"/>
          </w:tcPr>
          <w:p w:rsidR="000A64E2" w:rsidRPr="00FC192A" w:rsidRDefault="000A64E2" w:rsidP="000A64E2">
            <w:pPr>
              <w:jc w:val="center"/>
            </w:pPr>
            <w:r w:rsidRPr="00FC192A">
              <w:t>500</w:t>
            </w:r>
            <w:r w:rsidR="003F5B5F">
              <w:rPr>
                <w:rFonts w:hint="eastAsia"/>
              </w:rPr>
              <w:t>-850</w:t>
            </w:r>
          </w:p>
        </w:tc>
        <w:tc>
          <w:tcPr>
            <w:tcW w:w="1110" w:type="dxa"/>
            <w:vAlign w:val="center"/>
          </w:tcPr>
          <w:p w:rsidR="000A64E2" w:rsidRPr="00CC7921" w:rsidRDefault="000A64E2" w:rsidP="000A64E2">
            <w:pPr>
              <w:jc w:val="center"/>
            </w:pPr>
            <w:r w:rsidRPr="00CC7921">
              <w:t>630</w:t>
            </w:r>
          </w:p>
        </w:tc>
        <w:tc>
          <w:tcPr>
            <w:tcW w:w="2256" w:type="dxa"/>
            <w:vAlign w:val="center"/>
          </w:tcPr>
          <w:p w:rsidR="000A64E2" w:rsidRPr="00065EDB" w:rsidRDefault="000A64E2" w:rsidP="000A64E2">
            <w:pPr>
              <w:jc w:val="center"/>
            </w:pPr>
            <w:r w:rsidRPr="00065EDB">
              <w:t>4770x4338x4849</w:t>
            </w:r>
          </w:p>
        </w:tc>
        <w:tc>
          <w:tcPr>
            <w:tcW w:w="1716" w:type="dxa"/>
            <w:vAlign w:val="center"/>
          </w:tcPr>
          <w:p w:rsidR="000A64E2" w:rsidRPr="00F9418D" w:rsidRDefault="000A64E2" w:rsidP="000A64E2">
            <w:pPr>
              <w:jc w:val="center"/>
            </w:pPr>
            <w:r w:rsidRPr="00F9418D">
              <w:t>78.9</w:t>
            </w:r>
          </w:p>
        </w:tc>
      </w:tr>
      <w:tr w:rsidR="000A64E2" w:rsidRPr="004007E4" w:rsidTr="000A64E2">
        <w:trPr>
          <w:trHeight w:val="421"/>
          <w:jc w:val="center"/>
        </w:trPr>
        <w:tc>
          <w:tcPr>
            <w:tcW w:w="1082" w:type="dxa"/>
            <w:vAlign w:val="center"/>
          </w:tcPr>
          <w:p w:rsidR="000A64E2" w:rsidRDefault="000A64E2" w:rsidP="00053A4C">
            <w:pPr>
              <w:jc w:val="center"/>
            </w:pPr>
            <w:r w:rsidRPr="00AE4644">
              <w:rPr>
                <w:rFonts w:hint="eastAsia"/>
              </w:rPr>
              <w:t>HC887</w:t>
            </w:r>
            <w:r>
              <w:rPr>
                <w:rFonts w:hint="eastAsia"/>
              </w:rPr>
              <w:t>(</w:t>
            </w:r>
            <w:r w:rsidRPr="00AE4644">
              <w:rPr>
                <w:rFonts w:hint="eastAsia"/>
              </w:rPr>
              <w:t>A)</w:t>
            </w:r>
          </w:p>
        </w:tc>
        <w:tc>
          <w:tcPr>
            <w:tcW w:w="1263" w:type="dxa"/>
            <w:vAlign w:val="center"/>
          </w:tcPr>
          <w:p w:rsidR="000A64E2" w:rsidRDefault="000A64E2" w:rsidP="007D6ABD">
            <w:pPr>
              <w:jc w:val="center"/>
            </w:pPr>
            <w:r w:rsidRPr="00DD3A54">
              <w:t>2540x1845</w:t>
            </w:r>
          </w:p>
        </w:tc>
        <w:tc>
          <w:tcPr>
            <w:tcW w:w="1330" w:type="dxa"/>
            <w:vAlign w:val="center"/>
          </w:tcPr>
          <w:p w:rsidR="000A64E2" w:rsidRDefault="000A64E2" w:rsidP="000A64E2">
            <w:pPr>
              <w:jc w:val="center"/>
            </w:pPr>
            <w:r w:rsidRPr="007F2065">
              <w:t>1600</w:t>
            </w:r>
          </w:p>
        </w:tc>
        <w:tc>
          <w:tcPr>
            <w:tcW w:w="1356" w:type="dxa"/>
            <w:vAlign w:val="center"/>
          </w:tcPr>
          <w:p w:rsidR="000A64E2" w:rsidRPr="00FC192A" w:rsidRDefault="000A64E2" w:rsidP="000A64E2">
            <w:pPr>
              <w:jc w:val="center"/>
            </w:pPr>
            <w:r w:rsidRPr="00FC192A">
              <w:t>800</w:t>
            </w:r>
            <w:r w:rsidR="003F5B5F">
              <w:rPr>
                <w:rFonts w:hint="eastAsia"/>
              </w:rPr>
              <w:t>-1200</w:t>
            </w:r>
          </w:p>
        </w:tc>
        <w:tc>
          <w:tcPr>
            <w:tcW w:w="1110" w:type="dxa"/>
            <w:vAlign w:val="center"/>
          </w:tcPr>
          <w:p w:rsidR="000A64E2" w:rsidRDefault="000A64E2" w:rsidP="000A64E2">
            <w:pPr>
              <w:jc w:val="center"/>
            </w:pPr>
            <w:r w:rsidRPr="00CC7921">
              <w:t>1000</w:t>
            </w:r>
          </w:p>
        </w:tc>
        <w:tc>
          <w:tcPr>
            <w:tcW w:w="2256" w:type="dxa"/>
            <w:vAlign w:val="center"/>
          </w:tcPr>
          <w:p w:rsidR="000A64E2" w:rsidRDefault="000A64E2" w:rsidP="000A64E2">
            <w:pPr>
              <w:jc w:val="center"/>
            </w:pPr>
            <w:r w:rsidRPr="00065EDB">
              <w:t>5355x5399x5454</w:t>
            </w:r>
          </w:p>
        </w:tc>
        <w:tc>
          <w:tcPr>
            <w:tcW w:w="1716" w:type="dxa"/>
            <w:vAlign w:val="center"/>
          </w:tcPr>
          <w:p w:rsidR="000A64E2" w:rsidRDefault="000A64E2" w:rsidP="000A64E2">
            <w:pPr>
              <w:jc w:val="center"/>
            </w:pPr>
            <w:r w:rsidRPr="00F9418D">
              <w:t>111.5</w:t>
            </w:r>
          </w:p>
        </w:tc>
      </w:tr>
    </w:tbl>
    <w:p w:rsidR="00DB77CB" w:rsidRPr="00DB77CB" w:rsidRDefault="00DB77CB" w:rsidP="00DB77CB">
      <w:pPr>
        <w:rPr>
          <w:sz w:val="18"/>
          <w:szCs w:val="18"/>
        </w:rPr>
      </w:pPr>
      <w:r w:rsidRPr="00DB77CB">
        <w:rPr>
          <w:rFonts w:hint="eastAsia"/>
          <w:sz w:val="18"/>
          <w:szCs w:val="18"/>
        </w:rPr>
        <w:t>注：“</w:t>
      </w:r>
      <w:r w:rsidRPr="00DB77CB">
        <w:rPr>
          <w:rFonts w:hint="eastAsia"/>
          <w:sz w:val="18"/>
          <w:szCs w:val="18"/>
        </w:rPr>
        <w:t>A</w:t>
      </w:r>
      <w:r w:rsidRPr="00DB77CB">
        <w:rPr>
          <w:rFonts w:hint="eastAsia"/>
          <w:sz w:val="18"/>
          <w:szCs w:val="18"/>
        </w:rPr>
        <w:t>”表示带研磨腔，为选装。</w:t>
      </w:r>
    </w:p>
    <w:p w:rsidR="00DB77CB" w:rsidRPr="00DB77CB" w:rsidRDefault="00DB77CB" w:rsidP="00DB77CB">
      <w:pPr>
        <w:rPr>
          <w:sz w:val="18"/>
          <w:szCs w:val="18"/>
        </w:rPr>
      </w:pPr>
      <w:r w:rsidRPr="00DB77CB">
        <w:rPr>
          <w:rFonts w:hint="eastAsia"/>
          <w:sz w:val="18"/>
          <w:szCs w:val="18"/>
        </w:rPr>
        <w:t>上述生产能力是在破碎物料堆比重为</w:t>
      </w:r>
      <w:r w:rsidRPr="00DB77CB">
        <w:rPr>
          <w:rFonts w:hint="eastAsia"/>
          <w:sz w:val="18"/>
          <w:szCs w:val="18"/>
        </w:rPr>
        <w:t>1.6t/m3</w:t>
      </w:r>
      <w:r w:rsidRPr="00DB77CB">
        <w:rPr>
          <w:rFonts w:hint="eastAsia"/>
          <w:sz w:val="18"/>
          <w:szCs w:val="18"/>
        </w:rPr>
        <w:t>时开路循环生产中总吨数。生产能力与破碎物料的物理性能、给料方式、进料粒度及其组成等工况有关。</w:t>
      </w:r>
    </w:p>
    <w:p w:rsidR="00DB77CB" w:rsidRPr="00DB77CB" w:rsidRDefault="00DB77CB" w:rsidP="00DB77CB">
      <w:pPr>
        <w:rPr>
          <w:sz w:val="18"/>
          <w:szCs w:val="18"/>
        </w:rPr>
      </w:pPr>
      <w:r w:rsidRPr="00DB77CB">
        <w:rPr>
          <w:sz w:val="18"/>
          <w:szCs w:val="18"/>
        </w:rPr>
        <w:t>Note</w:t>
      </w:r>
      <w:proofErr w:type="gramStart"/>
      <w:r w:rsidRPr="00DB77CB">
        <w:rPr>
          <w:sz w:val="18"/>
          <w:szCs w:val="18"/>
        </w:rPr>
        <w:t>:“</w:t>
      </w:r>
      <w:proofErr w:type="spellStart"/>
      <w:proofErr w:type="gramEnd"/>
      <w:r w:rsidRPr="00DB77CB">
        <w:rPr>
          <w:sz w:val="18"/>
          <w:szCs w:val="18"/>
        </w:rPr>
        <w:t>A”shows</w:t>
      </w:r>
      <w:proofErr w:type="spellEnd"/>
      <w:r w:rsidRPr="00DB77CB">
        <w:rPr>
          <w:sz w:val="18"/>
          <w:szCs w:val="18"/>
        </w:rPr>
        <w:t xml:space="preserve"> grinding cavity, optional.</w:t>
      </w:r>
    </w:p>
    <w:p w:rsidR="003C5E17" w:rsidRDefault="00DB77CB" w:rsidP="00DB77CB">
      <w:pPr>
        <w:rPr>
          <w:sz w:val="18"/>
          <w:szCs w:val="18"/>
        </w:rPr>
      </w:pPr>
      <w:r w:rsidRPr="00DB77CB">
        <w:rPr>
          <w:sz w:val="18"/>
          <w:szCs w:val="18"/>
        </w:rPr>
        <w:t>Capacity is the total production tons of open circuit when the material bulk density to be crushed is 1.6t/m³. Production capacity will be affected by physics character of material and feeding method, feeding size and material composition, and so on.</w:t>
      </w:r>
    </w:p>
    <w:p w:rsidR="007E751E" w:rsidRDefault="007E751E" w:rsidP="00DB77CB">
      <w:pPr>
        <w:rPr>
          <w:sz w:val="18"/>
          <w:szCs w:val="18"/>
        </w:rPr>
      </w:pPr>
    </w:p>
    <w:p w:rsidR="007E751E" w:rsidRDefault="007E751E" w:rsidP="00DB77CB">
      <w:pPr>
        <w:rPr>
          <w:b/>
          <w:bCs/>
          <w:color w:val="E36C0A" w:themeColor="accent6" w:themeShade="BF"/>
          <w:szCs w:val="21"/>
        </w:rPr>
      </w:pPr>
      <w:r w:rsidRPr="007E751E">
        <w:rPr>
          <w:rFonts w:hint="eastAsia"/>
          <w:b/>
          <w:bCs/>
          <w:color w:val="0070C0"/>
          <w:szCs w:val="21"/>
        </w:rPr>
        <w:t>粒度特性曲线</w:t>
      </w:r>
      <w:r w:rsidRPr="007E751E">
        <w:rPr>
          <w:rFonts w:hint="eastAsia"/>
          <w:b/>
          <w:bCs/>
          <w:color w:val="0070C0"/>
          <w:szCs w:val="21"/>
        </w:rPr>
        <w:t xml:space="preserve">  </w:t>
      </w:r>
      <w:r w:rsidRPr="007E751E">
        <w:rPr>
          <w:rFonts w:hint="eastAsia"/>
          <w:b/>
          <w:bCs/>
          <w:color w:val="E36C0A" w:themeColor="accent6" w:themeShade="BF"/>
          <w:szCs w:val="21"/>
        </w:rPr>
        <w:t>Gradation Curves</w:t>
      </w:r>
    </w:p>
    <w:p w:rsidR="00B26D1C" w:rsidRPr="007E751E" w:rsidRDefault="00F35EC2" w:rsidP="00DB77CB">
      <w:pPr>
        <w:rPr>
          <w:b/>
          <w:bCs/>
          <w:color w:val="E36C0A" w:themeColor="accent6" w:themeShade="BF"/>
          <w:szCs w:val="21"/>
        </w:rPr>
      </w:pPr>
      <w:r>
        <w:rPr>
          <w:b/>
          <w:bCs/>
          <w:noProof/>
          <w:color w:val="E36C0A" w:themeColor="accent6" w:themeShade="BF"/>
          <w:szCs w:val="21"/>
        </w:rPr>
        <w:drawing>
          <wp:inline distT="0" distB="0" distL="0" distR="0">
            <wp:extent cx="6479540" cy="3539322"/>
            <wp:effectExtent l="1905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479540" cy="3539322"/>
                    </a:xfrm>
                    <a:prstGeom prst="rect">
                      <a:avLst/>
                    </a:prstGeom>
                    <a:noFill/>
                    <a:ln w="9525">
                      <a:noFill/>
                      <a:miter lim="800000"/>
                      <a:headEnd/>
                      <a:tailEnd/>
                    </a:ln>
                  </pic:spPr>
                </pic:pic>
              </a:graphicData>
            </a:graphic>
          </wp:inline>
        </w:drawing>
      </w:r>
    </w:p>
    <w:sectPr w:rsidR="00B26D1C" w:rsidRPr="007E751E" w:rsidSect="00F04F99">
      <w:headerReference w:type="default" r:id="rId12"/>
      <w:pgSz w:w="11906" w:h="16838"/>
      <w:pgMar w:top="238"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4C5" w:rsidRDefault="001D24C5" w:rsidP="00F34E04">
      <w:r>
        <w:separator/>
      </w:r>
    </w:p>
  </w:endnote>
  <w:endnote w:type="continuationSeparator" w:id="0">
    <w:p w:rsidR="001D24C5" w:rsidRDefault="001D24C5" w:rsidP="00F34E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4C5" w:rsidRDefault="001D24C5" w:rsidP="00F34E04">
      <w:r>
        <w:separator/>
      </w:r>
    </w:p>
  </w:footnote>
  <w:footnote w:type="continuationSeparator" w:id="0">
    <w:p w:rsidR="001D24C5" w:rsidRDefault="001D24C5" w:rsidP="00F34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C8" w:rsidRPr="00F04EB2" w:rsidRDefault="004615C8" w:rsidP="00F04EB2">
    <w:pPr>
      <w:spacing w:line="40" w:lineRule="atLeast"/>
      <w:rPr>
        <w:rFonts w:asciiTheme="minorBidi" w:eastAsia="黑体" w:hAnsiTheme="minorBidi"/>
        <w:color w:val="E36C0A" w:themeColor="accent6" w:themeShade="B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427"/>
    <w:multiLevelType w:val="hybridMultilevel"/>
    <w:tmpl w:val="7BF4A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968078C"/>
    <w:multiLevelType w:val="hybridMultilevel"/>
    <w:tmpl w:val="8E70DD9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CBE06AC"/>
    <w:multiLevelType w:val="hybridMultilevel"/>
    <w:tmpl w:val="09600646"/>
    <w:lvl w:ilvl="0" w:tplc="04090001">
      <w:start w:val="1"/>
      <w:numFmt w:val="bullet"/>
      <w:lvlText w:val=""/>
      <w:lvlJc w:val="left"/>
      <w:pPr>
        <w:ind w:left="360" w:hanging="36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020B74"/>
    <w:multiLevelType w:val="hybridMultilevel"/>
    <w:tmpl w:val="3CA6228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0AC0EB6"/>
    <w:multiLevelType w:val="hybridMultilevel"/>
    <w:tmpl w:val="7878162C"/>
    <w:lvl w:ilvl="0" w:tplc="0BA8785A">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8B5529A"/>
    <w:multiLevelType w:val="hybridMultilevel"/>
    <w:tmpl w:val="25D6F00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D164FBA"/>
    <w:multiLevelType w:val="hybridMultilevel"/>
    <w:tmpl w:val="B8A8B4F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22B3169"/>
    <w:multiLevelType w:val="hybridMultilevel"/>
    <w:tmpl w:val="9CA0235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5A62143"/>
    <w:multiLevelType w:val="hybridMultilevel"/>
    <w:tmpl w:val="7BA615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8B46530"/>
    <w:multiLevelType w:val="hybridMultilevel"/>
    <w:tmpl w:val="61C407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8"/>
  </w:num>
  <w:num w:numId="4">
    <w:abstractNumId w:val="3"/>
  </w:num>
  <w:num w:numId="5">
    <w:abstractNumId w:val="4"/>
  </w:num>
  <w:num w:numId="6">
    <w:abstractNumId w:val="7"/>
  </w:num>
  <w:num w:numId="7">
    <w:abstractNumId w:val="5"/>
  </w:num>
  <w:num w:numId="8">
    <w:abstractNumId w:val="9"/>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E04"/>
    <w:rsid w:val="00010F1B"/>
    <w:rsid w:val="00021866"/>
    <w:rsid w:val="0004757A"/>
    <w:rsid w:val="00053A4C"/>
    <w:rsid w:val="0006442A"/>
    <w:rsid w:val="00080295"/>
    <w:rsid w:val="000A64E2"/>
    <w:rsid w:val="000C58BC"/>
    <w:rsid w:val="00126900"/>
    <w:rsid w:val="00143F00"/>
    <w:rsid w:val="001843DA"/>
    <w:rsid w:val="001B25F4"/>
    <w:rsid w:val="001B42FD"/>
    <w:rsid w:val="001C7EB5"/>
    <w:rsid w:val="001D24C5"/>
    <w:rsid w:val="001D73B8"/>
    <w:rsid w:val="001E0556"/>
    <w:rsid w:val="001E503E"/>
    <w:rsid w:val="002077C2"/>
    <w:rsid w:val="002549BE"/>
    <w:rsid w:val="00275380"/>
    <w:rsid w:val="00281001"/>
    <w:rsid w:val="00290AE6"/>
    <w:rsid w:val="002A4609"/>
    <w:rsid w:val="002A7C0A"/>
    <w:rsid w:val="002B2705"/>
    <w:rsid w:val="002D1FC9"/>
    <w:rsid w:val="002D597C"/>
    <w:rsid w:val="002E2D9E"/>
    <w:rsid w:val="002F0C4F"/>
    <w:rsid w:val="003111B4"/>
    <w:rsid w:val="00324F72"/>
    <w:rsid w:val="00337AA8"/>
    <w:rsid w:val="003524B8"/>
    <w:rsid w:val="003A61B4"/>
    <w:rsid w:val="003C5E17"/>
    <w:rsid w:val="003C7BF7"/>
    <w:rsid w:val="003F5B5F"/>
    <w:rsid w:val="004007E4"/>
    <w:rsid w:val="00405422"/>
    <w:rsid w:val="00445605"/>
    <w:rsid w:val="004615C8"/>
    <w:rsid w:val="00465AF7"/>
    <w:rsid w:val="0047314B"/>
    <w:rsid w:val="004F7669"/>
    <w:rsid w:val="00541CFD"/>
    <w:rsid w:val="00545302"/>
    <w:rsid w:val="00586163"/>
    <w:rsid w:val="00594A51"/>
    <w:rsid w:val="005B3DB9"/>
    <w:rsid w:val="005D4290"/>
    <w:rsid w:val="005E7745"/>
    <w:rsid w:val="00605A32"/>
    <w:rsid w:val="00614D50"/>
    <w:rsid w:val="00661316"/>
    <w:rsid w:val="006674FD"/>
    <w:rsid w:val="00682106"/>
    <w:rsid w:val="006E736B"/>
    <w:rsid w:val="006F71A6"/>
    <w:rsid w:val="00731F62"/>
    <w:rsid w:val="00753E70"/>
    <w:rsid w:val="00776FCD"/>
    <w:rsid w:val="007C40CF"/>
    <w:rsid w:val="007D01DA"/>
    <w:rsid w:val="007D6ABD"/>
    <w:rsid w:val="007E751E"/>
    <w:rsid w:val="007F18FF"/>
    <w:rsid w:val="007F50B3"/>
    <w:rsid w:val="008177A6"/>
    <w:rsid w:val="0082061E"/>
    <w:rsid w:val="008209B9"/>
    <w:rsid w:val="0083417E"/>
    <w:rsid w:val="00842357"/>
    <w:rsid w:val="00863D71"/>
    <w:rsid w:val="008A30A7"/>
    <w:rsid w:val="008B730D"/>
    <w:rsid w:val="008D3E0B"/>
    <w:rsid w:val="008E7246"/>
    <w:rsid w:val="00904EB0"/>
    <w:rsid w:val="00905FD6"/>
    <w:rsid w:val="00912004"/>
    <w:rsid w:val="00932E77"/>
    <w:rsid w:val="009619C8"/>
    <w:rsid w:val="009675F9"/>
    <w:rsid w:val="00972969"/>
    <w:rsid w:val="00990536"/>
    <w:rsid w:val="00991891"/>
    <w:rsid w:val="009A6BCB"/>
    <w:rsid w:val="009C4F0C"/>
    <w:rsid w:val="009D03E2"/>
    <w:rsid w:val="009D48B1"/>
    <w:rsid w:val="00A12D0C"/>
    <w:rsid w:val="00A148B2"/>
    <w:rsid w:val="00A27FB5"/>
    <w:rsid w:val="00A302E3"/>
    <w:rsid w:val="00A42D93"/>
    <w:rsid w:val="00A831E0"/>
    <w:rsid w:val="00A930A0"/>
    <w:rsid w:val="00AE21A7"/>
    <w:rsid w:val="00AE3D41"/>
    <w:rsid w:val="00B0370A"/>
    <w:rsid w:val="00B16A22"/>
    <w:rsid w:val="00B212CC"/>
    <w:rsid w:val="00B26D1C"/>
    <w:rsid w:val="00B66FF1"/>
    <w:rsid w:val="00B948FE"/>
    <w:rsid w:val="00BB6CF0"/>
    <w:rsid w:val="00BD7537"/>
    <w:rsid w:val="00BE4E6D"/>
    <w:rsid w:val="00BF0C87"/>
    <w:rsid w:val="00C163C5"/>
    <w:rsid w:val="00C2307E"/>
    <w:rsid w:val="00C6532E"/>
    <w:rsid w:val="00C9040B"/>
    <w:rsid w:val="00C978B4"/>
    <w:rsid w:val="00CE12BD"/>
    <w:rsid w:val="00CF203A"/>
    <w:rsid w:val="00D4202B"/>
    <w:rsid w:val="00D5042A"/>
    <w:rsid w:val="00D54D43"/>
    <w:rsid w:val="00D55790"/>
    <w:rsid w:val="00D70DF1"/>
    <w:rsid w:val="00D74705"/>
    <w:rsid w:val="00D75F3D"/>
    <w:rsid w:val="00D844E0"/>
    <w:rsid w:val="00DA1F5D"/>
    <w:rsid w:val="00DA7405"/>
    <w:rsid w:val="00DB77CB"/>
    <w:rsid w:val="00DC1B1F"/>
    <w:rsid w:val="00DD0504"/>
    <w:rsid w:val="00DD5B25"/>
    <w:rsid w:val="00DE2CE4"/>
    <w:rsid w:val="00E00E26"/>
    <w:rsid w:val="00E03509"/>
    <w:rsid w:val="00E202CA"/>
    <w:rsid w:val="00E4044B"/>
    <w:rsid w:val="00E7415A"/>
    <w:rsid w:val="00E85872"/>
    <w:rsid w:val="00EA05B5"/>
    <w:rsid w:val="00EB1F1E"/>
    <w:rsid w:val="00EE3571"/>
    <w:rsid w:val="00EE644F"/>
    <w:rsid w:val="00F02F7B"/>
    <w:rsid w:val="00F04EB2"/>
    <w:rsid w:val="00F04F99"/>
    <w:rsid w:val="00F17CEB"/>
    <w:rsid w:val="00F25F10"/>
    <w:rsid w:val="00F31A21"/>
    <w:rsid w:val="00F34E04"/>
    <w:rsid w:val="00F35EC2"/>
    <w:rsid w:val="00F460FF"/>
    <w:rsid w:val="00F9166A"/>
    <w:rsid w:val="00F97BE3"/>
    <w:rsid w:val="00FE2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4E04"/>
    <w:rPr>
      <w:sz w:val="18"/>
      <w:szCs w:val="18"/>
    </w:rPr>
  </w:style>
  <w:style w:type="paragraph" w:styleId="a4">
    <w:name w:val="footer"/>
    <w:basedOn w:val="a"/>
    <w:link w:val="Char0"/>
    <w:uiPriority w:val="99"/>
    <w:semiHidden/>
    <w:unhideWhenUsed/>
    <w:rsid w:val="00F34E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E04"/>
    <w:rPr>
      <w:sz w:val="18"/>
      <w:szCs w:val="18"/>
    </w:rPr>
  </w:style>
  <w:style w:type="paragraph" w:styleId="a5">
    <w:name w:val="Balloon Text"/>
    <w:basedOn w:val="a"/>
    <w:link w:val="Char1"/>
    <w:uiPriority w:val="99"/>
    <w:semiHidden/>
    <w:unhideWhenUsed/>
    <w:rsid w:val="00021866"/>
    <w:rPr>
      <w:sz w:val="18"/>
      <w:szCs w:val="18"/>
    </w:rPr>
  </w:style>
  <w:style w:type="character" w:customStyle="1" w:styleId="Char1">
    <w:name w:val="批注框文本 Char"/>
    <w:basedOn w:val="a0"/>
    <w:link w:val="a5"/>
    <w:uiPriority w:val="99"/>
    <w:semiHidden/>
    <w:rsid w:val="00021866"/>
    <w:rPr>
      <w:sz w:val="18"/>
      <w:szCs w:val="18"/>
    </w:rPr>
  </w:style>
  <w:style w:type="paragraph" w:styleId="a6">
    <w:name w:val="List Paragraph"/>
    <w:basedOn w:val="a"/>
    <w:uiPriority w:val="34"/>
    <w:qFormat/>
    <w:rsid w:val="00BF0C87"/>
    <w:pPr>
      <w:ind w:firstLineChars="200" w:firstLine="420"/>
    </w:pPr>
  </w:style>
  <w:style w:type="table" w:styleId="a7">
    <w:name w:val="Table Grid"/>
    <w:basedOn w:val="a1"/>
    <w:uiPriority w:val="59"/>
    <w:rsid w:val="00661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811DB-91B4-4159-87DF-B11D50F3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gcc</dc:creator>
  <cp:lastModifiedBy>gcc</cp:lastModifiedBy>
  <cp:revision>36</cp:revision>
  <dcterms:created xsi:type="dcterms:W3CDTF">2012-12-07T04:19:00Z</dcterms:created>
  <dcterms:modified xsi:type="dcterms:W3CDTF">2012-12-13T06:13:00Z</dcterms:modified>
</cp:coreProperties>
</file>