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E221D" w:rsidRPr="00AE221D" w:rsidRDefault="00E85872" w:rsidP="00AE221D">
      <w:pPr>
        <w:rPr>
          <w:rFonts w:ascii="微软雅黑" w:eastAsia="微软雅黑" w:hAnsi="微软雅黑" w:cs="Arial"/>
          <w:b/>
          <w:color w:val="0070C0"/>
          <w:sz w:val="28"/>
          <w:szCs w:val="28"/>
        </w:rPr>
      </w:pPr>
      <w:r w:rsidRPr="008177A6">
        <w:rPr>
          <w:rFonts w:ascii="微软雅黑" w:eastAsia="微软雅黑" w:hAnsi="微软雅黑" w:cs="Times New Roman"/>
          <w:b/>
          <w:noProof/>
          <w:color w:val="0070C0"/>
          <w:sz w:val="28"/>
          <w:szCs w:val="28"/>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AE221D" w:rsidRPr="00AE221D">
        <w:rPr>
          <w:rFonts w:ascii="微软雅黑" w:eastAsia="微软雅黑" w:hAnsi="微软雅黑" w:hint="eastAsia"/>
          <w:b/>
          <w:bCs/>
          <w:color w:val="0070C0"/>
          <w:sz w:val="28"/>
          <w:szCs w:val="28"/>
        </w:rPr>
        <w:t>DSJ系列烘干锤式破碎机</w:t>
      </w:r>
    </w:p>
    <w:p w:rsidR="00AE221D" w:rsidRDefault="00AE221D" w:rsidP="00AE221D">
      <w:pPr>
        <w:rPr>
          <w:b/>
          <w:bCs/>
          <w:color w:val="E36C0A" w:themeColor="accent6" w:themeShade="BF"/>
          <w:sz w:val="28"/>
          <w:szCs w:val="28"/>
        </w:rPr>
      </w:pPr>
      <w:r w:rsidRPr="00AE221D">
        <w:rPr>
          <w:b/>
          <w:bCs/>
          <w:color w:val="E36C0A" w:themeColor="accent6" w:themeShade="BF"/>
          <w:sz w:val="28"/>
          <w:szCs w:val="28"/>
        </w:rPr>
        <w:t>DSJ Series Drying Hammer Mills</w:t>
      </w:r>
    </w:p>
    <w:p w:rsidR="00D228C1" w:rsidRPr="00AE221D" w:rsidRDefault="00D228C1" w:rsidP="00AE221D">
      <w:pPr>
        <w:rPr>
          <w:b/>
          <w:bCs/>
          <w:color w:val="E36C0A" w:themeColor="accent6" w:themeShade="BF"/>
          <w:sz w:val="28"/>
          <w:szCs w:val="28"/>
        </w:rPr>
      </w:pPr>
    </w:p>
    <w:p w:rsidR="00AE221D" w:rsidRDefault="00AE221D" w:rsidP="00434B57">
      <w:pPr>
        <w:ind w:firstLineChars="200" w:firstLine="420"/>
      </w:pPr>
      <w:r w:rsidRPr="00805C18">
        <w:rPr>
          <w:rFonts w:hint="eastAsia"/>
        </w:rPr>
        <w:t>上海山美重型矿山机械有限公司是中国领先的破碎筛分成套设备制造商，拥有现代化的加工制造能力和由优秀的工程师组成的研发队伍，积多年的专业经验所开发的</w:t>
      </w:r>
      <w:r w:rsidRPr="00805C18">
        <w:rPr>
          <w:rFonts w:hint="eastAsia"/>
        </w:rPr>
        <w:t>DSJ</w:t>
      </w:r>
      <w:r w:rsidRPr="00805C18">
        <w:rPr>
          <w:rFonts w:hint="eastAsia"/>
        </w:rPr>
        <w:t>系列烘干锤式破碎机具有国际先进水平，广泛应用于石膏板行业、水泥行业和化工等行业。</w:t>
      </w:r>
    </w:p>
    <w:p w:rsidR="00AE221D" w:rsidRDefault="00AE221D" w:rsidP="00AE221D">
      <w:r w:rsidRPr="00805C18">
        <w:t>SHANGHAI SANME MINING MACHINERY CO., LTD is a leading manufacturer of c</w:t>
      </w:r>
      <w:r>
        <w:t>rushing and screening equipment</w:t>
      </w:r>
      <w:r w:rsidRPr="00805C18">
        <w:t xml:space="preserve"> in China. With modern processing and manufacturing capacity and a top-ranking R&amp;D team consisted of professional engineers, DSJ Series Drying Hammer Mills, designed by SANME'S professional experience for many years, has achieved advanced world standard and is widely used in gypsum board, cement, chemicals and other industries.</w:t>
      </w:r>
    </w:p>
    <w:p w:rsidR="006674FD" w:rsidRPr="00AE221D" w:rsidRDefault="006674FD" w:rsidP="00080295">
      <w:pPr>
        <w:rPr>
          <w:rFonts w:eastAsia="宋体" w:cs="Arial"/>
          <w:bCs/>
          <w:szCs w:val="21"/>
        </w:rPr>
      </w:pPr>
    </w:p>
    <w:p w:rsidR="00D86601" w:rsidRDefault="00D86601" w:rsidP="00434B57">
      <w:pPr>
        <w:ind w:firstLineChars="200" w:firstLine="420"/>
      </w:pPr>
      <w:r w:rsidRPr="00805C18">
        <w:rPr>
          <w:rFonts w:hint="eastAsia"/>
        </w:rPr>
        <w:t>DSJ</w:t>
      </w:r>
      <w:r w:rsidRPr="00805C18">
        <w:rPr>
          <w:rFonts w:hint="eastAsia"/>
        </w:rPr>
        <w:t>系列烘干锤式破碎机用于破碎和烘干软质且非磨蚀性物料，如石膏、白垩、粘土、料浆滤饼等，如可对工业副产品石膏、烟气脱硫石膏和电石渣进行打散、烘干、煅烧，该机生产效率高、能耗低，在烘干的同时具有打散与破碎作用。旋转的转子将物料打散，热风将物料烘干，气流将已破碎烘干的物料带至分离室，细粉随后进入旋风筒分离，粗颗粒回入锤式破碎机再次破碎。</w:t>
      </w:r>
    </w:p>
    <w:p w:rsidR="00D86601" w:rsidRDefault="00D86601" w:rsidP="00D86601">
      <w:r w:rsidRPr="00805C18">
        <w:t xml:space="preserve">DSJ Series Drying Hammer Mills is suitable for crushing and drying soft or non-abrasive materials, </w:t>
      </w:r>
      <w:proofErr w:type="spellStart"/>
      <w:r w:rsidRPr="00805C18">
        <w:t>eg</w:t>
      </w:r>
      <w:proofErr w:type="spellEnd"/>
      <w:r w:rsidRPr="00805C18">
        <w:t xml:space="preserve">: gypsum, chalk, clay, slurry, filtered cake, etc. It can break up, dry and </w:t>
      </w:r>
      <w:proofErr w:type="spellStart"/>
      <w:r w:rsidRPr="00805C18">
        <w:t>calcine</w:t>
      </w:r>
      <w:proofErr w:type="spellEnd"/>
      <w:r w:rsidRPr="00805C18">
        <w:t xml:space="preserve"> industrial byproduct plaster, flue gas </w:t>
      </w:r>
      <w:proofErr w:type="spellStart"/>
      <w:r w:rsidRPr="00805C18">
        <w:t>desulfurized</w:t>
      </w:r>
      <w:proofErr w:type="spellEnd"/>
      <w:r w:rsidRPr="00805C18">
        <w:t xml:space="preserve"> gypsum and </w:t>
      </w:r>
      <w:proofErr w:type="spellStart"/>
      <w:r w:rsidRPr="00805C18">
        <w:t>calaium</w:t>
      </w:r>
      <w:proofErr w:type="spellEnd"/>
      <w:r w:rsidRPr="00805C18">
        <w:t xml:space="preserve"> carbide slag. This equipment is of high efficiency and low energy consumption. It has the function of breaking up and crushing the materials while drying them. The rotary rotor breaks up the materials, hot blast dries them, and air flow takes the crushed and </w:t>
      </w:r>
      <w:proofErr w:type="spellStart"/>
      <w:r w:rsidRPr="00805C18">
        <w:t>dryed</w:t>
      </w:r>
      <w:proofErr w:type="spellEnd"/>
      <w:r w:rsidRPr="00805C18">
        <w:t xml:space="preserve"> materials into separation chamber. Afterwards, fine powder is separated in cyclone, while </w:t>
      </w:r>
      <w:proofErr w:type="gramStart"/>
      <w:r w:rsidRPr="00805C18">
        <w:t>coarse particles goes</w:t>
      </w:r>
      <w:proofErr w:type="gramEnd"/>
      <w:r w:rsidRPr="00805C18">
        <w:t xml:space="preserve"> back to the hammer Mill and crushed again.</w:t>
      </w:r>
    </w:p>
    <w:p w:rsidR="00D86601" w:rsidRDefault="00D86601" w:rsidP="00D86601"/>
    <w:p w:rsidR="00D86601" w:rsidRDefault="00D86601" w:rsidP="00434B57">
      <w:pPr>
        <w:ind w:firstLineChars="200" w:firstLine="420"/>
      </w:pPr>
      <w:r w:rsidRPr="00805C18">
        <w:rPr>
          <w:rFonts w:hint="eastAsia"/>
        </w:rPr>
        <w:t>在石膏板行业，</w:t>
      </w:r>
      <w:r w:rsidRPr="00805C18">
        <w:rPr>
          <w:rFonts w:hint="eastAsia"/>
        </w:rPr>
        <w:t>DSJ</w:t>
      </w:r>
      <w:r w:rsidRPr="00805C18">
        <w:rPr>
          <w:rFonts w:hint="eastAsia"/>
        </w:rPr>
        <w:t>系列烘干锤式破碎机可将含水量≤</w:t>
      </w:r>
      <w:r w:rsidRPr="00805C18">
        <w:rPr>
          <w:rFonts w:hint="eastAsia"/>
        </w:rPr>
        <w:t>28%</w:t>
      </w:r>
      <w:r w:rsidRPr="00805C18">
        <w:rPr>
          <w:rFonts w:hint="eastAsia"/>
        </w:rPr>
        <w:t>的脱硫石膏渣料</w:t>
      </w:r>
      <w:proofErr w:type="gramStart"/>
      <w:r w:rsidRPr="00805C18">
        <w:rPr>
          <w:rFonts w:hint="eastAsia"/>
        </w:rPr>
        <w:t>饼通过</w:t>
      </w:r>
      <w:proofErr w:type="gramEnd"/>
      <w:r w:rsidRPr="00805C18">
        <w:rPr>
          <w:rFonts w:hint="eastAsia"/>
        </w:rPr>
        <w:t>烘干锤式破碎机的转子将其打散、抛扬，并与引入的</w:t>
      </w:r>
      <w:r w:rsidRPr="00805C18">
        <w:rPr>
          <w:rFonts w:hint="eastAsia"/>
        </w:rPr>
        <w:t>550</w:t>
      </w:r>
      <w:r w:rsidRPr="00805C18">
        <w:rPr>
          <w:rFonts w:hint="eastAsia"/>
        </w:rPr>
        <w:t>℃热风充分热交换，形成含水量≤</w:t>
      </w:r>
      <w:r w:rsidRPr="00805C18">
        <w:rPr>
          <w:rFonts w:hint="eastAsia"/>
        </w:rPr>
        <w:t>1%</w:t>
      </w:r>
      <w:r w:rsidRPr="00805C18">
        <w:rPr>
          <w:rFonts w:hint="eastAsia"/>
        </w:rPr>
        <w:t>的物料，物料由出风管进入上升管道被</w:t>
      </w:r>
      <w:bookmarkStart w:id="0" w:name="_GoBack"/>
      <w:bookmarkEnd w:id="0"/>
      <w:r w:rsidRPr="00805C18">
        <w:rPr>
          <w:rFonts w:hint="eastAsia"/>
        </w:rPr>
        <w:t>热风带走进入下道工序。该机也可用于水泥行业对滤饼和环保领域对电石渣的烘干破碎处理等。</w:t>
      </w:r>
    </w:p>
    <w:p w:rsidR="00D86601" w:rsidRPr="00D86601" w:rsidRDefault="00D86601" w:rsidP="00D86601">
      <w:r w:rsidRPr="00805C18">
        <w:rPr>
          <w:rFonts w:hint="eastAsia"/>
        </w:rPr>
        <w:t>I</w:t>
      </w:r>
      <w:r w:rsidRPr="00D86601">
        <w:rPr>
          <w:rFonts w:hint="eastAsia"/>
        </w:rPr>
        <w:t xml:space="preserve">n gypsum board industry, the rotor on DSJ Series Drying Hammer Mill can break up and throw the </w:t>
      </w:r>
      <w:proofErr w:type="spellStart"/>
      <w:r w:rsidRPr="00D86601">
        <w:rPr>
          <w:rFonts w:hint="eastAsia"/>
        </w:rPr>
        <w:t>desulfurized</w:t>
      </w:r>
      <w:proofErr w:type="spellEnd"/>
      <w:r w:rsidRPr="00D86601">
        <w:rPr>
          <w:rFonts w:hint="eastAsia"/>
        </w:rPr>
        <w:t xml:space="preserve"> gypsum slag, whose water content is no more than 28%. During this process, the gypsum slag exchanges the heat with the intake hot air of 550</w:t>
      </w:r>
      <w:r w:rsidRPr="00D86601">
        <w:rPr>
          <w:rFonts w:hint="eastAsia"/>
        </w:rPr>
        <w:t>℃</w:t>
      </w:r>
      <w:r w:rsidRPr="00D86601">
        <w:rPr>
          <w:rFonts w:hint="eastAsia"/>
        </w:rPr>
        <w:t xml:space="preserve">, and </w:t>
      </w:r>
      <w:r w:rsidRPr="00D86601">
        <w:t xml:space="preserve">then </w:t>
      </w:r>
      <w:r w:rsidRPr="00D86601">
        <w:rPr>
          <w:rFonts w:hint="eastAsia"/>
        </w:rPr>
        <w:t>produce the material with</w:t>
      </w:r>
      <w:r w:rsidRPr="00D86601">
        <w:t xml:space="preserve"> water content </w:t>
      </w:r>
      <w:r w:rsidRPr="00D86601">
        <w:rPr>
          <w:rFonts w:hint="eastAsia"/>
        </w:rPr>
        <w:t xml:space="preserve">less than </w:t>
      </w:r>
      <w:r w:rsidRPr="00D86601">
        <w:t>1% , which goes into riser from outlet duct and then hot air takes the material into the next process. This machine can also be used to dry and crush filtered cake in cement industry and calcium carbide slag in environmental protection.</w:t>
      </w:r>
    </w:p>
    <w:p w:rsidR="00D86601" w:rsidRDefault="00D86601" w:rsidP="00D86601"/>
    <w:p w:rsidR="00D86601" w:rsidRDefault="00D86601" w:rsidP="00434B57">
      <w:pPr>
        <w:ind w:firstLineChars="200" w:firstLine="420"/>
      </w:pPr>
      <w:r w:rsidRPr="00805C18">
        <w:rPr>
          <w:rFonts w:hint="eastAsia"/>
        </w:rPr>
        <w:t>DSJ</w:t>
      </w:r>
      <w:r w:rsidRPr="00805C18">
        <w:rPr>
          <w:rFonts w:hint="eastAsia"/>
        </w:rPr>
        <w:t>系列烘干锤式破碎机由于采用了合理可靠的加工工艺、优质材质和先进的自动化加工设备，使该机运行可靠、稳定、检修方便</w:t>
      </w:r>
      <w:r w:rsidRPr="00805C18">
        <w:rPr>
          <w:rFonts w:hint="eastAsia"/>
        </w:rPr>
        <w:t>,</w:t>
      </w:r>
      <w:r w:rsidRPr="00805C18">
        <w:rPr>
          <w:rFonts w:hint="eastAsia"/>
        </w:rPr>
        <w:t>该机的各项环保指标均符合国家要求。</w:t>
      </w:r>
    </w:p>
    <w:p w:rsidR="00D86601" w:rsidRDefault="00D86601" w:rsidP="00D86601">
      <w:r w:rsidRPr="00805C18">
        <w:t xml:space="preserve">DSJ Series Drying Hammer Mills adopt reasonable and reliable process technology, high-quality material and advanced automated processing equipment, which ensures the reliable and steady operation, and convenient maintenance. Each environmental indicators of this equipment are in line with the requirements of the country.  </w:t>
      </w:r>
    </w:p>
    <w:p w:rsidR="00D86601" w:rsidRDefault="00D86601" w:rsidP="00D86601"/>
    <w:p w:rsidR="00D86601" w:rsidRDefault="00D86601" w:rsidP="00434B57">
      <w:pPr>
        <w:ind w:firstLineChars="200" w:firstLine="420"/>
      </w:pPr>
      <w:r w:rsidRPr="00F54B7C">
        <w:rPr>
          <w:rFonts w:hint="eastAsia"/>
        </w:rPr>
        <w:t>以前脱硫石膏</w:t>
      </w:r>
      <w:proofErr w:type="gramStart"/>
      <w:r w:rsidRPr="00F54B7C">
        <w:rPr>
          <w:rFonts w:hint="eastAsia"/>
        </w:rPr>
        <w:t>渣往往</w:t>
      </w:r>
      <w:proofErr w:type="gramEnd"/>
      <w:r w:rsidRPr="00F54B7C">
        <w:rPr>
          <w:rFonts w:hint="eastAsia"/>
        </w:rPr>
        <w:t>通过填埋方法处理，这样严重污染环境且占用耕地，现在，将脱硫石膏渣经</w:t>
      </w:r>
      <w:proofErr w:type="gramStart"/>
      <w:r w:rsidRPr="00F54B7C">
        <w:rPr>
          <w:rFonts w:hint="eastAsia"/>
        </w:rPr>
        <w:t>本设备</w:t>
      </w:r>
      <w:proofErr w:type="gramEnd"/>
      <w:r w:rsidRPr="00F54B7C">
        <w:rPr>
          <w:rFonts w:hint="eastAsia"/>
        </w:rPr>
        <w:t>处理后可制成建筑用石膏粉，变废为宝</w:t>
      </w:r>
      <w:r w:rsidRPr="00F54B7C">
        <w:rPr>
          <w:rFonts w:hint="eastAsia"/>
        </w:rPr>
        <w:t>,</w:t>
      </w:r>
      <w:r w:rsidRPr="00F54B7C">
        <w:rPr>
          <w:rFonts w:hint="eastAsia"/>
        </w:rPr>
        <w:t>而且经此制成的石膏粉性能超过天然石膏，是制造石膏板的优质原料。</w:t>
      </w:r>
    </w:p>
    <w:p w:rsidR="00AE21A7" w:rsidRDefault="00D86601" w:rsidP="00D86601">
      <w:proofErr w:type="spellStart"/>
      <w:r w:rsidRPr="00F54B7C">
        <w:t>Desulfurized</w:t>
      </w:r>
      <w:proofErr w:type="spellEnd"/>
      <w:r w:rsidRPr="00F54B7C">
        <w:t xml:space="preserve"> gypsum slag used to be processed through the landfill, which seriously pollutes the environment and uses the farmland. Nowadays, the </w:t>
      </w:r>
      <w:proofErr w:type="spellStart"/>
      <w:r w:rsidRPr="00F54B7C">
        <w:t>desulfurized</w:t>
      </w:r>
      <w:proofErr w:type="spellEnd"/>
      <w:r w:rsidRPr="00F54B7C">
        <w:t xml:space="preserve"> gypsum slag can be used as construction gypsum powder, after being processed by this machine. What’s more, its performance is better than that of natural gypsum. It is high-quality raw material to produce gypsum board.</w:t>
      </w:r>
    </w:p>
    <w:p w:rsidR="003554A9" w:rsidRDefault="003554A9" w:rsidP="003554A9">
      <w:pPr>
        <w:jc w:val="left"/>
      </w:pPr>
    </w:p>
    <w:p w:rsidR="005E7745" w:rsidRPr="005E7745" w:rsidRDefault="00D86601" w:rsidP="003554A9">
      <w:pPr>
        <w:jc w:val="left"/>
        <w:rPr>
          <w:b/>
          <w:bCs/>
          <w:color w:val="0070C0"/>
          <w:szCs w:val="21"/>
        </w:rPr>
      </w:pPr>
      <w:r>
        <w:rPr>
          <w:rFonts w:asciiTheme="minorEastAsia" w:hAnsiTheme="minorEastAsia" w:hint="eastAsia"/>
          <w:b/>
          <w:bCs/>
          <w:noProof/>
          <w:color w:val="0070C0"/>
          <w:szCs w:val="21"/>
        </w:rPr>
        <w:lastRenderedPageBreak/>
        <w:drawing>
          <wp:anchor distT="0" distB="0" distL="114300" distR="114300" simplePos="0" relativeHeight="25167564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5E7745" w:rsidRPr="005E7745">
        <w:rPr>
          <w:rFonts w:hint="eastAsia"/>
          <w:b/>
          <w:bCs/>
          <w:color w:val="0070C0"/>
          <w:szCs w:val="21"/>
        </w:rPr>
        <w:t>技术参数：</w:t>
      </w:r>
    </w:p>
    <w:p w:rsidR="005E7745" w:rsidRPr="005E7745" w:rsidRDefault="005E7745" w:rsidP="005E7745">
      <w:pPr>
        <w:rPr>
          <w:b/>
          <w:color w:val="0070C0"/>
          <w:sz w:val="24"/>
          <w:szCs w:val="24"/>
        </w:rPr>
      </w:pP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W w:w="10212" w:type="dxa"/>
        <w:jc w:val="center"/>
        <w:tblInd w:w="-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1701"/>
        <w:gridCol w:w="1418"/>
        <w:gridCol w:w="1841"/>
        <w:gridCol w:w="1844"/>
        <w:gridCol w:w="2128"/>
      </w:tblGrid>
      <w:tr w:rsidR="005A6133" w:rsidRPr="004007E4" w:rsidTr="005A6133">
        <w:trPr>
          <w:trHeight w:val="834"/>
          <w:jc w:val="center"/>
        </w:trPr>
        <w:tc>
          <w:tcPr>
            <w:tcW w:w="1280" w:type="dxa"/>
            <w:vAlign w:val="center"/>
          </w:tcPr>
          <w:p w:rsidR="005A6133" w:rsidRPr="004007E4" w:rsidRDefault="005A6133" w:rsidP="00053A4C">
            <w:pPr>
              <w:jc w:val="center"/>
              <w:rPr>
                <w:rFonts w:ascii="Calibri" w:eastAsia="宋体" w:hAnsi="Calibri" w:cs="Arial"/>
                <w:b/>
                <w:bCs/>
                <w:sz w:val="18"/>
                <w:szCs w:val="18"/>
              </w:rPr>
            </w:pPr>
            <w:r w:rsidRPr="004007E4">
              <w:rPr>
                <w:rFonts w:ascii="Calibri" w:eastAsia="宋体" w:hAnsi="Calibri" w:cs="Arial" w:hint="eastAsia"/>
                <w:b/>
                <w:bCs/>
                <w:sz w:val="18"/>
                <w:szCs w:val="18"/>
              </w:rPr>
              <w:t>型号</w:t>
            </w:r>
          </w:p>
          <w:p w:rsidR="005A6133" w:rsidRPr="004007E4" w:rsidRDefault="005A6133" w:rsidP="00053A4C">
            <w:pPr>
              <w:jc w:val="center"/>
              <w:rPr>
                <w:rFonts w:ascii="Calibri" w:eastAsia="宋体" w:hAnsi="Calibri" w:cs="Arial"/>
                <w:b/>
                <w:bCs/>
                <w:sz w:val="18"/>
                <w:szCs w:val="18"/>
                <w:lang w:val="es-MX"/>
              </w:rPr>
            </w:pPr>
            <w:r w:rsidRPr="004007E4">
              <w:rPr>
                <w:rFonts w:ascii="Calibri" w:eastAsia="宋体" w:hAnsi="Calibri" w:cs="Arial" w:hint="eastAsia"/>
                <w:b/>
                <w:bCs/>
                <w:sz w:val="18"/>
                <w:szCs w:val="18"/>
              </w:rPr>
              <w:t>Model</w:t>
            </w:r>
          </w:p>
        </w:tc>
        <w:tc>
          <w:tcPr>
            <w:tcW w:w="1701" w:type="dxa"/>
            <w:vAlign w:val="center"/>
          </w:tcPr>
          <w:p w:rsidR="005A6133" w:rsidRPr="004007E4" w:rsidRDefault="005A6133"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最大进料边长</w:t>
            </w:r>
          </w:p>
          <w:p w:rsidR="005A6133" w:rsidRPr="004007E4" w:rsidRDefault="005A6133"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Max Feed Size</w:t>
            </w:r>
            <w:r>
              <w:rPr>
                <w:rFonts w:ascii="Calibri" w:eastAsia="宋体" w:hAnsi="Calibri" w:cs="Arial" w:hint="eastAsia"/>
                <w:b/>
                <w:bCs/>
                <w:sz w:val="18"/>
                <w:szCs w:val="18"/>
              </w:rPr>
              <w:t>(mm)</w:t>
            </w:r>
          </w:p>
        </w:tc>
        <w:tc>
          <w:tcPr>
            <w:tcW w:w="1418" w:type="dxa"/>
            <w:vAlign w:val="center"/>
          </w:tcPr>
          <w:p w:rsidR="005A6133" w:rsidRPr="004007E4" w:rsidRDefault="005A6133"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生产能力</w:t>
            </w:r>
            <w:r w:rsidRPr="004007E4">
              <w:rPr>
                <w:rFonts w:hint="eastAsia"/>
                <w:b/>
                <w:bCs/>
                <w:sz w:val="18"/>
                <w:szCs w:val="18"/>
              </w:rPr>
              <w:t xml:space="preserve"> </w:t>
            </w:r>
            <w:r w:rsidRPr="004007E4">
              <w:rPr>
                <w:rFonts w:ascii="Calibri" w:eastAsia="宋体" w:hAnsi="Calibri" w:cs="Arial" w:hint="eastAsia"/>
                <w:b/>
                <w:bCs/>
                <w:sz w:val="18"/>
                <w:szCs w:val="18"/>
              </w:rPr>
              <w:t>Capacity</w:t>
            </w:r>
            <w:r w:rsidRPr="004007E4">
              <w:rPr>
                <w:rFonts w:ascii="Calibri" w:eastAsia="宋体" w:hAnsi="Calibri" w:cs="Arial" w:hint="eastAsia"/>
                <w:b/>
                <w:bCs/>
                <w:sz w:val="18"/>
                <w:szCs w:val="18"/>
              </w:rPr>
              <w:t>（</w:t>
            </w:r>
            <w:r w:rsidRPr="004007E4">
              <w:rPr>
                <w:rFonts w:hint="eastAsia"/>
                <w:b/>
                <w:bCs/>
                <w:sz w:val="18"/>
                <w:szCs w:val="18"/>
              </w:rPr>
              <w:t>t</w:t>
            </w:r>
            <w:r w:rsidRPr="004007E4">
              <w:rPr>
                <w:rFonts w:ascii="Calibri" w:eastAsia="宋体" w:hAnsi="Calibri" w:cs="Arial" w:hint="eastAsia"/>
                <w:b/>
                <w:bCs/>
                <w:sz w:val="18"/>
                <w:szCs w:val="18"/>
              </w:rPr>
              <w:t>/</w:t>
            </w:r>
            <w:r w:rsidRPr="004007E4">
              <w:rPr>
                <w:rFonts w:hint="eastAsia"/>
                <w:b/>
                <w:bCs/>
                <w:sz w:val="18"/>
                <w:szCs w:val="18"/>
              </w:rPr>
              <w:t>h</w:t>
            </w:r>
            <w:r w:rsidRPr="004007E4">
              <w:rPr>
                <w:rFonts w:ascii="Calibri" w:eastAsia="宋体" w:hAnsi="Calibri" w:cs="Arial" w:hint="eastAsia"/>
                <w:b/>
                <w:bCs/>
                <w:sz w:val="18"/>
                <w:szCs w:val="18"/>
              </w:rPr>
              <w:t>）</w:t>
            </w:r>
          </w:p>
        </w:tc>
        <w:tc>
          <w:tcPr>
            <w:tcW w:w="1841" w:type="dxa"/>
            <w:vAlign w:val="center"/>
          </w:tcPr>
          <w:p w:rsidR="005A6133" w:rsidRPr="005A6133" w:rsidRDefault="005A6133" w:rsidP="005A6133">
            <w:pPr>
              <w:jc w:val="center"/>
              <w:rPr>
                <w:b/>
                <w:bCs/>
                <w:sz w:val="18"/>
                <w:szCs w:val="18"/>
              </w:rPr>
            </w:pPr>
            <w:r w:rsidRPr="005A6133">
              <w:rPr>
                <w:rFonts w:hint="eastAsia"/>
                <w:b/>
                <w:bCs/>
                <w:sz w:val="18"/>
                <w:szCs w:val="18"/>
              </w:rPr>
              <w:t>进料含水量</w:t>
            </w:r>
          </w:p>
          <w:p w:rsidR="005A6133" w:rsidRPr="005A6133" w:rsidRDefault="005A6133" w:rsidP="005A6133">
            <w:pPr>
              <w:jc w:val="center"/>
            </w:pPr>
            <w:r w:rsidRPr="005A6133">
              <w:rPr>
                <w:b/>
                <w:bCs/>
                <w:sz w:val="18"/>
                <w:szCs w:val="18"/>
              </w:rPr>
              <w:t>Water content of feed material</w:t>
            </w:r>
          </w:p>
        </w:tc>
        <w:tc>
          <w:tcPr>
            <w:tcW w:w="1844" w:type="dxa"/>
            <w:vAlign w:val="center"/>
          </w:tcPr>
          <w:p w:rsidR="005A6133" w:rsidRPr="005A6133" w:rsidRDefault="005A6133" w:rsidP="005A6133">
            <w:pPr>
              <w:jc w:val="center"/>
              <w:rPr>
                <w:b/>
                <w:bCs/>
                <w:sz w:val="18"/>
                <w:szCs w:val="18"/>
              </w:rPr>
            </w:pPr>
            <w:r w:rsidRPr="005A6133">
              <w:rPr>
                <w:rFonts w:hint="eastAsia"/>
                <w:b/>
                <w:bCs/>
                <w:sz w:val="18"/>
                <w:szCs w:val="18"/>
              </w:rPr>
              <w:t>电机功率</w:t>
            </w:r>
          </w:p>
          <w:p w:rsidR="005A6133" w:rsidRPr="005A6133" w:rsidRDefault="005A6133" w:rsidP="005A6133">
            <w:pPr>
              <w:jc w:val="center"/>
            </w:pPr>
            <w:r w:rsidRPr="005A6133">
              <w:rPr>
                <w:b/>
                <w:bCs/>
                <w:sz w:val="18"/>
                <w:szCs w:val="18"/>
              </w:rPr>
              <w:t>Power</w:t>
            </w:r>
            <w:r w:rsidRPr="005A6133">
              <w:rPr>
                <w:rFonts w:hint="eastAsia"/>
                <w:b/>
                <w:bCs/>
                <w:sz w:val="18"/>
                <w:szCs w:val="18"/>
              </w:rPr>
              <w:t xml:space="preserve"> </w:t>
            </w:r>
            <w:r w:rsidRPr="005A6133">
              <w:rPr>
                <w:b/>
                <w:bCs/>
                <w:sz w:val="18"/>
                <w:szCs w:val="18"/>
              </w:rPr>
              <w:t>(</w:t>
            </w:r>
            <w:proofErr w:type="spellStart"/>
            <w:r w:rsidRPr="005A6133">
              <w:rPr>
                <w:b/>
                <w:bCs/>
                <w:sz w:val="18"/>
                <w:szCs w:val="18"/>
              </w:rPr>
              <w:t>kw</w:t>
            </w:r>
            <w:proofErr w:type="spellEnd"/>
            <w:r w:rsidRPr="005A6133">
              <w:rPr>
                <w:b/>
                <w:bCs/>
                <w:sz w:val="18"/>
                <w:szCs w:val="18"/>
              </w:rPr>
              <w:t>)</w:t>
            </w:r>
          </w:p>
        </w:tc>
        <w:tc>
          <w:tcPr>
            <w:tcW w:w="2128" w:type="dxa"/>
            <w:vAlign w:val="center"/>
          </w:tcPr>
          <w:p w:rsidR="005A6133" w:rsidRPr="004007E4" w:rsidRDefault="005A6133" w:rsidP="005A6133">
            <w:pPr>
              <w:jc w:val="center"/>
              <w:rPr>
                <w:rFonts w:ascii="Calibri" w:eastAsia="宋体" w:hAnsi="Calibri" w:cs="Arial"/>
                <w:b/>
                <w:bCs/>
                <w:sz w:val="18"/>
                <w:szCs w:val="18"/>
              </w:rPr>
            </w:pPr>
            <w:r w:rsidRPr="004007E4">
              <w:rPr>
                <w:rFonts w:ascii="Calibri" w:eastAsia="宋体" w:hAnsi="Calibri" w:cs="Arial" w:hint="eastAsia"/>
                <w:b/>
                <w:bCs/>
                <w:sz w:val="18"/>
                <w:szCs w:val="18"/>
              </w:rPr>
              <w:t>重量</w:t>
            </w:r>
          </w:p>
          <w:p w:rsidR="005A6133" w:rsidRPr="004007E4" w:rsidRDefault="005A6133" w:rsidP="005A6133">
            <w:pPr>
              <w:jc w:val="center"/>
              <w:rPr>
                <w:rFonts w:ascii="Calibri" w:eastAsia="宋体" w:hAnsi="Calibri" w:cs="Arial"/>
                <w:b/>
                <w:bCs/>
                <w:sz w:val="18"/>
                <w:szCs w:val="18"/>
              </w:rPr>
            </w:pPr>
            <w:r w:rsidRPr="00614D50">
              <w:rPr>
                <w:rFonts w:hint="eastAsia"/>
                <w:b/>
                <w:bCs/>
                <w:sz w:val="18"/>
                <w:szCs w:val="18"/>
              </w:rPr>
              <w:t>Weight (t)</w:t>
            </w:r>
          </w:p>
        </w:tc>
      </w:tr>
      <w:tr w:rsidR="005A6133" w:rsidRPr="004007E4" w:rsidTr="005A6133">
        <w:trPr>
          <w:trHeight w:val="465"/>
          <w:jc w:val="center"/>
        </w:trPr>
        <w:tc>
          <w:tcPr>
            <w:tcW w:w="1280" w:type="dxa"/>
            <w:vAlign w:val="center"/>
          </w:tcPr>
          <w:p w:rsidR="005A6133" w:rsidRPr="00AE4644" w:rsidRDefault="005A6133" w:rsidP="00053A4C">
            <w:pPr>
              <w:jc w:val="center"/>
            </w:pPr>
            <w:r>
              <w:rPr>
                <w:rFonts w:hint="eastAsia"/>
              </w:rPr>
              <w:t>DSJ1515</w:t>
            </w:r>
          </w:p>
        </w:tc>
        <w:tc>
          <w:tcPr>
            <w:tcW w:w="1701" w:type="dxa"/>
            <w:vAlign w:val="center"/>
          </w:tcPr>
          <w:p w:rsidR="005A6133" w:rsidRPr="007F2065" w:rsidRDefault="00C458FC" w:rsidP="000A64E2">
            <w:pPr>
              <w:jc w:val="center"/>
            </w:pPr>
            <w:r>
              <w:rPr>
                <w:rFonts w:asciiTheme="minorEastAsia" w:hAnsiTheme="minorEastAsia" w:hint="eastAsia"/>
              </w:rPr>
              <w:t>≤</w:t>
            </w:r>
            <w:r>
              <w:rPr>
                <w:rFonts w:hint="eastAsia"/>
              </w:rPr>
              <w:t>100</w:t>
            </w:r>
          </w:p>
        </w:tc>
        <w:tc>
          <w:tcPr>
            <w:tcW w:w="1418" w:type="dxa"/>
            <w:vAlign w:val="center"/>
          </w:tcPr>
          <w:p w:rsidR="005A6133" w:rsidRPr="00FC192A" w:rsidRDefault="001E4FBA" w:rsidP="000A64E2">
            <w:pPr>
              <w:jc w:val="center"/>
            </w:pPr>
            <w:r>
              <w:rPr>
                <w:rFonts w:hint="eastAsia"/>
              </w:rPr>
              <w:t>20-25</w:t>
            </w:r>
          </w:p>
        </w:tc>
        <w:tc>
          <w:tcPr>
            <w:tcW w:w="1841" w:type="dxa"/>
            <w:vAlign w:val="center"/>
          </w:tcPr>
          <w:p w:rsidR="005A6133" w:rsidRPr="00CC7921" w:rsidRDefault="001E4FBA" w:rsidP="001E4FBA">
            <w:pPr>
              <w:jc w:val="center"/>
            </w:pPr>
            <w:r>
              <w:rPr>
                <w:rFonts w:asciiTheme="minorEastAsia" w:hAnsiTheme="minorEastAsia" w:hint="eastAsia"/>
              </w:rPr>
              <w:t>≤</w:t>
            </w:r>
            <w:r>
              <w:rPr>
                <w:rFonts w:hint="eastAsia"/>
              </w:rPr>
              <w:t>15%</w:t>
            </w:r>
          </w:p>
        </w:tc>
        <w:tc>
          <w:tcPr>
            <w:tcW w:w="1844" w:type="dxa"/>
            <w:vAlign w:val="center"/>
          </w:tcPr>
          <w:p w:rsidR="005A6133" w:rsidRPr="00065EDB" w:rsidRDefault="00B52676" w:rsidP="000A64E2">
            <w:pPr>
              <w:jc w:val="center"/>
            </w:pPr>
            <w:r>
              <w:rPr>
                <w:rFonts w:hint="eastAsia"/>
              </w:rPr>
              <w:t>75</w:t>
            </w:r>
          </w:p>
        </w:tc>
        <w:tc>
          <w:tcPr>
            <w:tcW w:w="2128" w:type="dxa"/>
            <w:vAlign w:val="center"/>
          </w:tcPr>
          <w:p w:rsidR="005A6133" w:rsidRPr="00F9418D" w:rsidRDefault="00B52676" w:rsidP="000A64E2">
            <w:pPr>
              <w:jc w:val="center"/>
            </w:pPr>
            <w:r>
              <w:rPr>
                <w:rFonts w:hint="eastAsia"/>
              </w:rPr>
              <w:t>29</w:t>
            </w:r>
          </w:p>
        </w:tc>
      </w:tr>
      <w:tr w:rsidR="005A6133" w:rsidRPr="004007E4" w:rsidTr="005A6133">
        <w:trPr>
          <w:trHeight w:val="400"/>
          <w:jc w:val="center"/>
        </w:trPr>
        <w:tc>
          <w:tcPr>
            <w:tcW w:w="1280" w:type="dxa"/>
            <w:vAlign w:val="center"/>
          </w:tcPr>
          <w:p w:rsidR="005A6133" w:rsidRPr="00AE4644" w:rsidRDefault="005A6133" w:rsidP="005A6133">
            <w:pPr>
              <w:jc w:val="center"/>
            </w:pPr>
            <w:r>
              <w:rPr>
                <w:rFonts w:hint="eastAsia"/>
              </w:rPr>
              <w:t>DSJ2015</w:t>
            </w:r>
          </w:p>
        </w:tc>
        <w:tc>
          <w:tcPr>
            <w:tcW w:w="1701" w:type="dxa"/>
            <w:vAlign w:val="center"/>
          </w:tcPr>
          <w:p w:rsidR="005A6133" w:rsidRPr="007F2065" w:rsidRDefault="00C458FC" w:rsidP="000A64E2">
            <w:pPr>
              <w:jc w:val="center"/>
            </w:pPr>
            <w:r>
              <w:rPr>
                <w:rFonts w:asciiTheme="minorEastAsia" w:hAnsiTheme="minorEastAsia" w:hint="eastAsia"/>
              </w:rPr>
              <w:t>≤</w:t>
            </w:r>
            <w:r>
              <w:rPr>
                <w:rFonts w:hint="eastAsia"/>
              </w:rPr>
              <w:t>100</w:t>
            </w:r>
          </w:p>
        </w:tc>
        <w:tc>
          <w:tcPr>
            <w:tcW w:w="1418" w:type="dxa"/>
            <w:vAlign w:val="center"/>
          </w:tcPr>
          <w:p w:rsidR="005A6133" w:rsidRPr="00FC192A" w:rsidRDefault="001E4FBA" w:rsidP="000A64E2">
            <w:pPr>
              <w:jc w:val="center"/>
            </w:pPr>
            <w:r>
              <w:rPr>
                <w:rFonts w:hint="eastAsia"/>
              </w:rPr>
              <w:t>30-35</w:t>
            </w:r>
          </w:p>
        </w:tc>
        <w:tc>
          <w:tcPr>
            <w:tcW w:w="1841" w:type="dxa"/>
            <w:vAlign w:val="center"/>
          </w:tcPr>
          <w:p w:rsidR="005A6133" w:rsidRPr="00CC7921" w:rsidRDefault="001E4FBA" w:rsidP="000A64E2">
            <w:pPr>
              <w:jc w:val="center"/>
            </w:pPr>
            <w:r>
              <w:rPr>
                <w:rFonts w:asciiTheme="minorEastAsia" w:hAnsiTheme="minorEastAsia" w:hint="eastAsia"/>
              </w:rPr>
              <w:t>≤</w:t>
            </w:r>
            <w:r>
              <w:rPr>
                <w:rFonts w:hint="eastAsia"/>
              </w:rPr>
              <w:t>15%</w:t>
            </w:r>
          </w:p>
        </w:tc>
        <w:tc>
          <w:tcPr>
            <w:tcW w:w="1844" w:type="dxa"/>
            <w:vAlign w:val="center"/>
          </w:tcPr>
          <w:p w:rsidR="005A6133" w:rsidRPr="00065EDB" w:rsidRDefault="00B52676" w:rsidP="000A64E2">
            <w:pPr>
              <w:jc w:val="center"/>
            </w:pPr>
            <w:r>
              <w:rPr>
                <w:rFonts w:hint="eastAsia"/>
              </w:rPr>
              <w:t>132</w:t>
            </w:r>
          </w:p>
        </w:tc>
        <w:tc>
          <w:tcPr>
            <w:tcW w:w="2128" w:type="dxa"/>
            <w:vAlign w:val="center"/>
          </w:tcPr>
          <w:p w:rsidR="005A6133" w:rsidRPr="00F9418D" w:rsidRDefault="00B52676" w:rsidP="000A64E2">
            <w:pPr>
              <w:jc w:val="center"/>
            </w:pPr>
            <w:r>
              <w:rPr>
                <w:rFonts w:hint="eastAsia"/>
              </w:rPr>
              <w:t>40</w:t>
            </w:r>
          </w:p>
        </w:tc>
      </w:tr>
      <w:tr w:rsidR="005A6133" w:rsidRPr="004007E4" w:rsidTr="005A6133">
        <w:trPr>
          <w:trHeight w:val="421"/>
          <w:jc w:val="center"/>
        </w:trPr>
        <w:tc>
          <w:tcPr>
            <w:tcW w:w="1280" w:type="dxa"/>
            <w:vAlign w:val="center"/>
          </w:tcPr>
          <w:p w:rsidR="005A6133" w:rsidRPr="00AE4644" w:rsidRDefault="005A6133" w:rsidP="00053A4C">
            <w:pPr>
              <w:jc w:val="center"/>
            </w:pPr>
            <w:r>
              <w:rPr>
                <w:rFonts w:hint="eastAsia"/>
              </w:rPr>
              <w:t>DSJ2020</w:t>
            </w:r>
          </w:p>
        </w:tc>
        <w:tc>
          <w:tcPr>
            <w:tcW w:w="1701" w:type="dxa"/>
            <w:vAlign w:val="center"/>
          </w:tcPr>
          <w:p w:rsidR="005A6133" w:rsidRPr="007F2065" w:rsidRDefault="00C458FC" w:rsidP="000A64E2">
            <w:pPr>
              <w:jc w:val="center"/>
            </w:pPr>
            <w:r>
              <w:rPr>
                <w:rFonts w:asciiTheme="minorEastAsia" w:hAnsiTheme="minorEastAsia" w:hint="eastAsia"/>
              </w:rPr>
              <w:t>≤</w:t>
            </w:r>
            <w:r>
              <w:rPr>
                <w:rFonts w:hint="eastAsia"/>
              </w:rPr>
              <w:t>100</w:t>
            </w:r>
          </w:p>
        </w:tc>
        <w:tc>
          <w:tcPr>
            <w:tcW w:w="1418" w:type="dxa"/>
            <w:vAlign w:val="center"/>
          </w:tcPr>
          <w:p w:rsidR="005A6133" w:rsidRPr="00FC192A" w:rsidRDefault="001E4FBA" w:rsidP="000A64E2">
            <w:pPr>
              <w:jc w:val="center"/>
            </w:pPr>
            <w:r>
              <w:rPr>
                <w:rFonts w:hint="eastAsia"/>
              </w:rPr>
              <w:t>35-40</w:t>
            </w:r>
          </w:p>
        </w:tc>
        <w:tc>
          <w:tcPr>
            <w:tcW w:w="1841" w:type="dxa"/>
            <w:vAlign w:val="center"/>
          </w:tcPr>
          <w:p w:rsidR="005A6133" w:rsidRPr="00CC7921" w:rsidRDefault="001E4FBA" w:rsidP="000A64E2">
            <w:pPr>
              <w:jc w:val="center"/>
            </w:pPr>
            <w:r>
              <w:rPr>
                <w:rFonts w:asciiTheme="minorEastAsia" w:hAnsiTheme="minorEastAsia" w:hint="eastAsia"/>
              </w:rPr>
              <w:t>≤</w:t>
            </w:r>
            <w:r>
              <w:rPr>
                <w:rFonts w:hint="eastAsia"/>
              </w:rPr>
              <w:t>15%</w:t>
            </w:r>
          </w:p>
        </w:tc>
        <w:tc>
          <w:tcPr>
            <w:tcW w:w="1844" w:type="dxa"/>
            <w:vAlign w:val="center"/>
          </w:tcPr>
          <w:p w:rsidR="005A6133" w:rsidRPr="00065EDB" w:rsidRDefault="00B52676" w:rsidP="000A64E2">
            <w:pPr>
              <w:jc w:val="center"/>
            </w:pPr>
            <w:r>
              <w:rPr>
                <w:rFonts w:hint="eastAsia"/>
              </w:rPr>
              <w:t>132</w:t>
            </w:r>
          </w:p>
        </w:tc>
        <w:tc>
          <w:tcPr>
            <w:tcW w:w="2128" w:type="dxa"/>
            <w:vAlign w:val="center"/>
          </w:tcPr>
          <w:p w:rsidR="005A6133" w:rsidRPr="00F9418D" w:rsidRDefault="00B52676" w:rsidP="000A64E2">
            <w:pPr>
              <w:jc w:val="center"/>
            </w:pPr>
            <w:r>
              <w:rPr>
                <w:rFonts w:hint="eastAsia"/>
              </w:rPr>
              <w:t>45.5</w:t>
            </w:r>
          </w:p>
        </w:tc>
      </w:tr>
      <w:tr w:rsidR="005A6133" w:rsidRPr="004007E4" w:rsidTr="005A6133">
        <w:trPr>
          <w:trHeight w:val="413"/>
          <w:jc w:val="center"/>
        </w:trPr>
        <w:tc>
          <w:tcPr>
            <w:tcW w:w="1280" w:type="dxa"/>
            <w:vAlign w:val="center"/>
          </w:tcPr>
          <w:p w:rsidR="005A6133" w:rsidRPr="00AE4644" w:rsidRDefault="005A6133" w:rsidP="00053A4C">
            <w:pPr>
              <w:jc w:val="center"/>
            </w:pPr>
            <w:r>
              <w:rPr>
                <w:rFonts w:hint="eastAsia"/>
              </w:rPr>
              <w:t>DSJ2515</w:t>
            </w:r>
          </w:p>
        </w:tc>
        <w:tc>
          <w:tcPr>
            <w:tcW w:w="1701" w:type="dxa"/>
            <w:vAlign w:val="center"/>
          </w:tcPr>
          <w:p w:rsidR="005A6133" w:rsidRPr="007F2065" w:rsidRDefault="00C458FC" w:rsidP="000A64E2">
            <w:pPr>
              <w:jc w:val="center"/>
            </w:pPr>
            <w:r>
              <w:rPr>
                <w:rFonts w:asciiTheme="minorEastAsia" w:hAnsiTheme="minorEastAsia" w:hint="eastAsia"/>
              </w:rPr>
              <w:t>≤</w:t>
            </w:r>
            <w:r>
              <w:rPr>
                <w:rFonts w:hint="eastAsia"/>
              </w:rPr>
              <w:t>100</w:t>
            </w:r>
          </w:p>
        </w:tc>
        <w:tc>
          <w:tcPr>
            <w:tcW w:w="1418" w:type="dxa"/>
            <w:vAlign w:val="center"/>
          </w:tcPr>
          <w:p w:rsidR="005A6133" w:rsidRPr="00FC192A" w:rsidRDefault="001E4FBA" w:rsidP="000A64E2">
            <w:pPr>
              <w:jc w:val="center"/>
            </w:pPr>
            <w:r>
              <w:rPr>
                <w:rFonts w:hint="eastAsia"/>
              </w:rPr>
              <w:t>40-50</w:t>
            </w:r>
          </w:p>
        </w:tc>
        <w:tc>
          <w:tcPr>
            <w:tcW w:w="1841" w:type="dxa"/>
            <w:vAlign w:val="center"/>
          </w:tcPr>
          <w:p w:rsidR="005A6133" w:rsidRPr="00CC7921" w:rsidRDefault="001E4FBA" w:rsidP="000A64E2">
            <w:pPr>
              <w:jc w:val="center"/>
            </w:pPr>
            <w:r>
              <w:rPr>
                <w:rFonts w:asciiTheme="minorEastAsia" w:hAnsiTheme="minorEastAsia" w:hint="eastAsia"/>
              </w:rPr>
              <w:t>≤</w:t>
            </w:r>
            <w:r>
              <w:rPr>
                <w:rFonts w:hint="eastAsia"/>
              </w:rPr>
              <w:t>15%</w:t>
            </w:r>
          </w:p>
        </w:tc>
        <w:tc>
          <w:tcPr>
            <w:tcW w:w="1844" w:type="dxa"/>
            <w:vAlign w:val="center"/>
          </w:tcPr>
          <w:p w:rsidR="005A6133" w:rsidRPr="00065EDB" w:rsidRDefault="00B52676" w:rsidP="000A64E2">
            <w:pPr>
              <w:jc w:val="center"/>
            </w:pPr>
            <w:r>
              <w:rPr>
                <w:rFonts w:hint="eastAsia"/>
              </w:rPr>
              <w:t>160</w:t>
            </w:r>
          </w:p>
        </w:tc>
        <w:tc>
          <w:tcPr>
            <w:tcW w:w="2128" w:type="dxa"/>
            <w:vAlign w:val="center"/>
          </w:tcPr>
          <w:p w:rsidR="005A6133" w:rsidRPr="00F9418D" w:rsidRDefault="00B52676" w:rsidP="000A64E2">
            <w:pPr>
              <w:jc w:val="center"/>
            </w:pPr>
            <w:r>
              <w:rPr>
                <w:rFonts w:hint="eastAsia"/>
              </w:rPr>
              <w:t>55</w:t>
            </w:r>
          </w:p>
        </w:tc>
      </w:tr>
      <w:tr w:rsidR="005A6133" w:rsidRPr="004007E4" w:rsidTr="005A6133">
        <w:trPr>
          <w:trHeight w:val="419"/>
          <w:jc w:val="center"/>
        </w:trPr>
        <w:tc>
          <w:tcPr>
            <w:tcW w:w="1280" w:type="dxa"/>
            <w:vAlign w:val="center"/>
          </w:tcPr>
          <w:p w:rsidR="005A6133" w:rsidRPr="00AE4644" w:rsidRDefault="005A6133" w:rsidP="00053A4C">
            <w:pPr>
              <w:jc w:val="center"/>
            </w:pPr>
            <w:r>
              <w:rPr>
                <w:rFonts w:hint="eastAsia"/>
              </w:rPr>
              <w:t>DSJ2817</w:t>
            </w:r>
          </w:p>
        </w:tc>
        <w:tc>
          <w:tcPr>
            <w:tcW w:w="1701" w:type="dxa"/>
            <w:vAlign w:val="center"/>
          </w:tcPr>
          <w:p w:rsidR="005A6133" w:rsidRPr="007F2065" w:rsidRDefault="00C458FC" w:rsidP="000A64E2">
            <w:pPr>
              <w:jc w:val="center"/>
            </w:pPr>
            <w:r>
              <w:rPr>
                <w:rFonts w:asciiTheme="minorEastAsia" w:hAnsiTheme="minorEastAsia" w:hint="eastAsia"/>
              </w:rPr>
              <w:t>≤</w:t>
            </w:r>
            <w:r>
              <w:rPr>
                <w:rFonts w:hint="eastAsia"/>
              </w:rPr>
              <w:t>100</w:t>
            </w:r>
          </w:p>
        </w:tc>
        <w:tc>
          <w:tcPr>
            <w:tcW w:w="1418" w:type="dxa"/>
            <w:vAlign w:val="center"/>
          </w:tcPr>
          <w:p w:rsidR="005A6133" w:rsidRPr="00FC192A" w:rsidRDefault="001E4FBA" w:rsidP="000A64E2">
            <w:pPr>
              <w:jc w:val="center"/>
            </w:pPr>
            <w:r>
              <w:rPr>
                <w:rFonts w:hint="eastAsia"/>
              </w:rPr>
              <w:t>65-80</w:t>
            </w:r>
          </w:p>
        </w:tc>
        <w:tc>
          <w:tcPr>
            <w:tcW w:w="1841" w:type="dxa"/>
            <w:vAlign w:val="center"/>
          </w:tcPr>
          <w:p w:rsidR="005A6133" w:rsidRPr="00CC7921" w:rsidRDefault="001E4FBA" w:rsidP="000A64E2">
            <w:pPr>
              <w:jc w:val="center"/>
            </w:pPr>
            <w:r>
              <w:rPr>
                <w:rFonts w:asciiTheme="minorEastAsia" w:hAnsiTheme="minorEastAsia" w:hint="eastAsia"/>
              </w:rPr>
              <w:t>≤</w:t>
            </w:r>
            <w:r>
              <w:rPr>
                <w:rFonts w:hint="eastAsia"/>
              </w:rPr>
              <w:t>15%</w:t>
            </w:r>
          </w:p>
        </w:tc>
        <w:tc>
          <w:tcPr>
            <w:tcW w:w="1844" w:type="dxa"/>
            <w:vAlign w:val="center"/>
          </w:tcPr>
          <w:p w:rsidR="005A6133" w:rsidRPr="00065EDB" w:rsidRDefault="00B52676" w:rsidP="000A64E2">
            <w:pPr>
              <w:jc w:val="center"/>
            </w:pPr>
            <w:r>
              <w:rPr>
                <w:rFonts w:hint="eastAsia"/>
              </w:rPr>
              <w:t>315</w:t>
            </w:r>
          </w:p>
        </w:tc>
        <w:tc>
          <w:tcPr>
            <w:tcW w:w="2128" w:type="dxa"/>
            <w:vAlign w:val="center"/>
          </w:tcPr>
          <w:p w:rsidR="005A6133" w:rsidRPr="00F9418D" w:rsidRDefault="00B52676" w:rsidP="000A64E2">
            <w:pPr>
              <w:jc w:val="center"/>
            </w:pPr>
            <w:r>
              <w:rPr>
                <w:rFonts w:hint="eastAsia"/>
              </w:rPr>
              <w:t>78</w:t>
            </w:r>
          </w:p>
        </w:tc>
      </w:tr>
      <w:tr w:rsidR="005A6133" w:rsidRPr="004007E4" w:rsidTr="005A6133">
        <w:trPr>
          <w:trHeight w:val="424"/>
          <w:jc w:val="center"/>
        </w:trPr>
        <w:tc>
          <w:tcPr>
            <w:tcW w:w="1280" w:type="dxa"/>
            <w:vAlign w:val="center"/>
          </w:tcPr>
          <w:p w:rsidR="005A6133" w:rsidRPr="00AE4644" w:rsidRDefault="005A6133" w:rsidP="00053A4C">
            <w:pPr>
              <w:jc w:val="center"/>
            </w:pPr>
            <w:r>
              <w:rPr>
                <w:rFonts w:hint="eastAsia"/>
              </w:rPr>
              <w:t>DSJ3026</w:t>
            </w:r>
          </w:p>
        </w:tc>
        <w:tc>
          <w:tcPr>
            <w:tcW w:w="1701" w:type="dxa"/>
            <w:vAlign w:val="center"/>
          </w:tcPr>
          <w:p w:rsidR="005A6133" w:rsidRPr="007F2065" w:rsidRDefault="00C458FC" w:rsidP="000A64E2">
            <w:pPr>
              <w:jc w:val="center"/>
            </w:pPr>
            <w:r>
              <w:rPr>
                <w:rFonts w:asciiTheme="minorEastAsia" w:hAnsiTheme="minorEastAsia" w:hint="eastAsia"/>
              </w:rPr>
              <w:t>≤</w:t>
            </w:r>
            <w:r>
              <w:rPr>
                <w:rFonts w:hint="eastAsia"/>
              </w:rPr>
              <w:t>100</w:t>
            </w:r>
          </w:p>
        </w:tc>
        <w:tc>
          <w:tcPr>
            <w:tcW w:w="1418" w:type="dxa"/>
            <w:vAlign w:val="center"/>
          </w:tcPr>
          <w:p w:rsidR="005A6133" w:rsidRPr="00FC192A" w:rsidRDefault="001E4FBA" w:rsidP="000A64E2">
            <w:pPr>
              <w:jc w:val="center"/>
            </w:pPr>
            <w:r>
              <w:rPr>
                <w:rFonts w:hint="eastAsia"/>
              </w:rPr>
              <w:t>110</w:t>
            </w:r>
          </w:p>
        </w:tc>
        <w:tc>
          <w:tcPr>
            <w:tcW w:w="1841" w:type="dxa"/>
            <w:vAlign w:val="center"/>
          </w:tcPr>
          <w:p w:rsidR="005A6133" w:rsidRPr="00CC7921" w:rsidRDefault="001E4FBA" w:rsidP="000A64E2">
            <w:pPr>
              <w:jc w:val="center"/>
            </w:pPr>
            <w:r>
              <w:rPr>
                <w:rFonts w:asciiTheme="minorEastAsia" w:hAnsiTheme="minorEastAsia" w:hint="eastAsia"/>
              </w:rPr>
              <w:t>≤</w:t>
            </w:r>
            <w:r>
              <w:rPr>
                <w:rFonts w:hint="eastAsia"/>
              </w:rPr>
              <w:t>15%</w:t>
            </w:r>
          </w:p>
        </w:tc>
        <w:tc>
          <w:tcPr>
            <w:tcW w:w="1844" w:type="dxa"/>
            <w:vAlign w:val="center"/>
          </w:tcPr>
          <w:p w:rsidR="005A6133" w:rsidRPr="00065EDB" w:rsidRDefault="00B52676" w:rsidP="000A64E2">
            <w:pPr>
              <w:jc w:val="center"/>
            </w:pPr>
            <w:r>
              <w:rPr>
                <w:rFonts w:hint="eastAsia"/>
              </w:rPr>
              <w:t>600</w:t>
            </w:r>
          </w:p>
        </w:tc>
        <w:tc>
          <w:tcPr>
            <w:tcW w:w="2128" w:type="dxa"/>
            <w:vAlign w:val="center"/>
          </w:tcPr>
          <w:p w:rsidR="005A6133" w:rsidRPr="00F9418D" w:rsidRDefault="00B52676" w:rsidP="000A64E2">
            <w:pPr>
              <w:jc w:val="center"/>
            </w:pPr>
            <w:r>
              <w:rPr>
                <w:rFonts w:hint="eastAsia"/>
              </w:rPr>
              <w:t>128</w:t>
            </w:r>
          </w:p>
        </w:tc>
      </w:tr>
      <w:tr w:rsidR="005A6133" w:rsidRPr="004007E4" w:rsidTr="005A6133">
        <w:trPr>
          <w:trHeight w:val="417"/>
          <w:jc w:val="center"/>
        </w:trPr>
        <w:tc>
          <w:tcPr>
            <w:tcW w:w="1280" w:type="dxa"/>
            <w:vAlign w:val="center"/>
          </w:tcPr>
          <w:p w:rsidR="005A6133" w:rsidRPr="00AE4644" w:rsidRDefault="005A6133" w:rsidP="005A6133">
            <w:pPr>
              <w:jc w:val="center"/>
            </w:pPr>
            <w:r>
              <w:rPr>
                <w:rFonts w:hint="eastAsia"/>
              </w:rPr>
              <w:t>DSJ4325</w:t>
            </w:r>
          </w:p>
        </w:tc>
        <w:tc>
          <w:tcPr>
            <w:tcW w:w="1701" w:type="dxa"/>
            <w:vAlign w:val="center"/>
          </w:tcPr>
          <w:p w:rsidR="005A6133" w:rsidRPr="007F2065" w:rsidRDefault="00C458FC" w:rsidP="000A64E2">
            <w:pPr>
              <w:jc w:val="center"/>
            </w:pPr>
            <w:r>
              <w:rPr>
                <w:rFonts w:asciiTheme="minorEastAsia" w:hAnsiTheme="minorEastAsia" w:hint="eastAsia"/>
              </w:rPr>
              <w:t>≤</w:t>
            </w:r>
            <w:r>
              <w:rPr>
                <w:rFonts w:hint="eastAsia"/>
              </w:rPr>
              <w:t>100</w:t>
            </w:r>
          </w:p>
        </w:tc>
        <w:tc>
          <w:tcPr>
            <w:tcW w:w="1418" w:type="dxa"/>
            <w:vAlign w:val="center"/>
          </w:tcPr>
          <w:p w:rsidR="005A6133" w:rsidRPr="00FC192A" w:rsidRDefault="001E4FBA" w:rsidP="000A64E2">
            <w:pPr>
              <w:jc w:val="center"/>
            </w:pPr>
            <w:r>
              <w:rPr>
                <w:rFonts w:hint="eastAsia"/>
              </w:rPr>
              <w:t>150-160</w:t>
            </w:r>
          </w:p>
        </w:tc>
        <w:tc>
          <w:tcPr>
            <w:tcW w:w="1841" w:type="dxa"/>
            <w:vAlign w:val="center"/>
          </w:tcPr>
          <w:p w:rsidR="005A6133" w:rsidRPr="00CC7921" w:rsidRDefault="001E4FBA" w:rsidP="000A64E2">
            <w:pPr>
              <w:jc w:val="center"/>
            </w:pPr>
            <w:r>
              <w:rPr>
                <w:rFonts w:asciiTheme="minorEastAsia" w:hAnsiTheme="minorEastAsia" w:hint="eastAsia"/>
              </w:rPr>
              <w:t>≤</w:t>
            </w:r>
            <w:r>
              <w:rPr>
                <w:rFonts w:hint="eastAsia"/>
              </w:rPr>
              <w:t>15%</w:t>
            </w:r>
          </w:p>
        </w:tc>
        <w:tc>
          <w:tcPr>
            <w:tcW w:w="1844" w:type="dxa"/>
            <w:vAlign w:val="center"/>
          </w:tcPr>
          <w:p w:rsidR="005A6133" w:rsidRPr="00065EDB" w:rsidRDefault="00B52676" w:rsidP="000A64E2">
            <w:pPr>
              <w:jc w:val="center"/>
            </w:pPr>
            <w:r>
              <w:rPr>
                <w:rFonts w:hint="eastAsia"/>
              </w:rPr>
              <w:t>800</w:t>
            </w:r>
          </w:p>
        </w:tc>
        <w:tc>
          <w:tcPr>
            <w:tcW w:w="2128" w:type="dxa"/>
            <w:vAlign w:val="center"/>
          </w:tcPr>
          <w:p w:rsidR="005A6133" w:rsidRPr="00F9418D" w:rsidRDefault="00B52676" w:rsidP="000A64E2">
            <w:pPr>
              <w:jc w:val="center"/>
            </w:pPr>
            <w:r>
              <w:rPr>
                <w:rFonts w:hint="eastAsia"/>
              </w:rPr>
              <w:t>145</w:t>
            </w:r>
          </w:p>
        </w:tc>
      </w:tr>
    </w:tbl>
    <w:p w:rsidR="007E751E" w:rsidRDefault="007E751E" w:rsidP="00DB77CB">
      <w:pPr>
        <w:rPr>
          <w:sz w:val="18"/>
          <w:szCs w:val="18"/>
        </w:rPr>
      </w:pPr>
    </w:p>
    <w:p w:rsidR="00B26D1C" w:rsidRPr="007E751E" w:rsidRDefault="00B26D1C" w:rsidP="00DB77CB">
      <w:pPr>
        <w:rPr>
          <w:b/>
          <w:bCs/>
          <w:color w:val="E36C0A" w:themeColor="accent6" w:themeShade="BF"/>
          <w:szCs w:val="21"/>
        </w:rPr>
      </w:pPr>
    </w:p>
    <w:sectPr w:rsidR="00B26D1C" w:rsidRPr="007E751E" w:rsidSect="00F04F99">
      <w:headerReference w:type="default" r:id="rId9"/>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40" w:rsidRDefault="006F1540" w:rsidP="00F34E04">
      <w:r>
        <w:separator/>
      </w:r>
    </w:p>
  </w:endnote>
  <w:endnote w:type="continuationSeparator" w:id="0">
    <w:p w:rsidR="006F1540" w:rsidRDefault="006F1540"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40" w:rsidRDefault="006F1540" w:rsidP="00F34E04">
      <w:r>
        <w:separator/>
      </w:r>
    </w:p>
  </w:footnote>
  <w:footnote w:type="continuationSeparator" w:id="0">
    <w:p w:rsidR="006F1540" w:rsidRDefault="006F1540"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757A"/>
    <w:rsid w:val="00053A4C"/>
    <w:rsid w:val="00080295"/>
    <w:rsid w:val="000A64E2"/>
    <w:rsid w:val="000C58BC"/>
    <w:rsid w:val="000D0CE0"/>
    <w:rsid w:val="00126900"/>
    <w:rsid w:val="00143F00"/>
    <w:rsid w:val="001843DA"/>
    <w:rsid w:val="001B25F4"/>
    <w:rsid w:val="001B42FD"/>
    <w:rsid w:val="001C7EB5"/>
    <w:rsid w:val="001D73B8"/>
    <w:rsid w:val="001E0556"/>
    <w:rsid w:val="001E4FBA"/>
    <w:rsid w:val="001E503E"/>
    <w:rsid w:val="002077C2"/>
    <w:rsid w:val="002549BE"/>
    <w:rsid w:val="00275380"/>
    <w:rsid w:val="00281001"/>
    <w:rsid w:val="00290AE6"/>
    <w:rsid w:val="002A4609"/>
    <w:rsid w:val="002A7C0A"/>
    <w:rsid w:val="002B2705"/>
    <w:rsid w:val="002D1FC9"/>
    <w:rsid w:val="002D597C"/>
    <w:rsid w:val="002E2D9E"/>
    <w:rsid w:val="002F0C4F"/>
    <w:rsid w:val="00307A07"/>
    <w:rsid w:val="003111B4"/>
    <w:rsid w:val="00324F72"/>
    <w:rsid w:val="00337AA8"/>
    <w:rsid w:val="003524B8"/>
    <w:rsid w:val="003554A9"/>
    <w:rsid w:val="00364F0F"/>
    <w:rsid w:val="003A61B4"/>
    <w:rsid w:val="003C5E17"/>
    <w:rsid w:val="003C7BF7"/>
    <w:rsid w:val="004007E4"/>
    <w:rsid w:val="00405422"/>
    <w:rsid w:val="00432F90"/>
    <w:rsid w:val="00434B57"/>
    <w:rsid w:val="00445605"/>
    <w:rsid w:val="004615C8"/>
    <w:rsid w:val="00465AF7"/>
    <w:rsid w:val="0047314B"/>
    <w:rsid w:val="004F7669"/>
    <w:rsid w:val="00541CFD"/>
    <w:rsid w:val="00545302"/>
    <w:rsid w:val="00586163"/>
    <w:rsid w:val="00594A51"/>
    <w:rsid w:val="005A6133"/>
    <w:rsid w:val="005B3DB9"/>
    <w:rsid w:val="005D4290"/>
    <w:rsid w:val="005E7745"/>
    <w:rsid w:val="00605A32"/>
    <w:rsid w:val="00614D50"/>
    <w:rsid w:val="00661316"/>
    <w:rsid w:val="006674FD"/>
    <w:rsid w:val="00682106"/>
    <w:rsid w:val="006E736B"/>
    <w:rsid w:val="006F1540"/>
    <w:rsid w:val="006F71A6"/>
    <w:rsid w:val="00731F62"/>
    <w:rsid w:val="00753E70"/>
    <w:rsid w:val="00776FCD"/>
    <w:rsid w:val="007C40CF"/>
    <w:rsid w:val="007D01DA"/>
    <w:rsid w:val="007D6ABD"/>
    <w:rsid w:val="007E751E"/>
    <w:rsid w:val="007F18FF"/>
    <w:rsid w:val="007F50B3"/>
    <w:rsid w:val="008177A6"/>
    <w:rsid w:val="0082061E"/>
    <w:rsid w:val="008209B9"/>
    <w:rsid w:val="0083417E"/>
    <w:rsid w:val="00842357"/>
    <w:rsid w:val="008A30A7"/>
    <w:rsid w:val="008B730D"/>
    <w:rsid w:val="008D3E0B"/>
    <w:rsid w:val="008E7246"/>
    <w:rsid w:val="00904EB0"/>
    <w:rsid w:val="00905FD6"/>
    <w:rsid w:val="00912004"/>
    <w:rsid w:val="00932E77"/>
    <w:rsid w:val="009619C8"/>
    <w:rsid w:val="009675F9"/>
    <w:rsid w:val="00972969"/>
    <w:rsid w:val="00977456"/>
    <w:rsid w:val="00990536"/>
    <w:rsid w:val="00991891"/>
    <w:rsid w:val="009A6BCB"/>
    <w:rsid w:val="009C4F0C"/>
    <w:rsid w:val="009D03E2"/>
    <w:rsid w:val="009D48B1"/>
    <w:rsid w:val="00A12D0C"/>
    <w:rsid w:val="00A148B2"/>
    <w:rsid w:val="00A27FB5"/>
    <w:rsid w:val="00A302E3"/>
    <w:rsid w:val="00A42D93"/>
    <w:rsid w:val="00A62836"/>
    <w:rsid w:val="00A831E0"/>
    <w:rsid w:val="00A930A0"/>
    <w:rsid w:val="00AE21A7"/>
    <w:rsid w:val="00AE221D"/>
    <w:rsid w:val="00AE3D41"/>
    <w:rsid w:val="00B0370A"/>
    <w:rsid w:val="00B16A22"/>
    <w:rsid w:val="00B212CC"/>
    <w:rsid w:val="00B26D1C"/>
    <w:rsid w:val="00B52676"/>
    <w:rsid w:val="00B66FF1"/>
    <w:rsid w:val="00B948FE"/>
    <w:rsid w:val="00BB6CF0"/>
    <w:rsid w:val="00BD7537"/>
    <w:rsid w:val="00BE4E6D"/>
    <w:rsid w:val="00BF0C87"/>
    <w:rsid w:val="00C163C5"/>
    <w:rsid w:val="00C2307E"/>
    <w:rsid w:val="00C458FC"/>
    <w:rsid w:val="00C6532E"/>
    <w:rsid w:val="00C9040B"/>
    <w:rsid w:val="00C978B4"/>
    <w:rsid w:val="00CE12BD"/>
    <w:rsid w:val="00CF203A"/>
    <w:rsid w:val="00D228C1"/>
    <w:rsid w:val="00D4202B"/>
    <w:rsid w:val="00D5042A"/>
    <w:rsid w:val="00D54D43"/>
    <w:rsid w:val="00D55790"/>
    <w:rsid w:val="00D70DF1"/>
    <w:rsid w:val="00D74705"/>
    <w:rsid w:val="00D75F3D"/>
    <w:rsid w:val="00D844E0"/>
    <w:rsid w:val="00D86601"/>
    <w:rsid w:val="00DA1F5D"/>
    <w:rsid w:val="00DA7405"/>
    <w:rsid w:val="00DB77CB"/>
    <w:rsid w:val="00DC1B1F"/>
    <w:rsid w:val="00DD0504"/>
    <w:rsid w:val="00DD5B25"/>
    <w:rsid w:val="00DE2CE4"/>
    <w:rsid w:val="00E00E26"/>
    <w:rsid w:val="00E03509"/>
    <w:rsid w:val="00E202CA"/>
    <w:rsid w:val="00E4044B"/>
    <w:rsid w:val="00E7415A"/>
    <w:rsid w:val="00E85872"/>
    <w:rsid w:val="00EA05B5"/>
    <w:rsid w:val="00EB1F1E"/>
    <w:rsid w:val="00EE3571"/>
    <w:rsid w:val="00EE644F"/>
    <w:rsid w:val="00F02F7B"/>
    <w:rsid w:val="00F04EB2"/>
    <w:rsid w:val="00F04F99"/>
    <w:rsid w:val="00F17CEB"/>
    <w:rsid w:val="00F25F10"/>
    <w:rsid w:val="00F31A21"/>
    <w:rsid w:val="00F34E04"/>
    <w:rsid w:val="00F35EC2"/>
    <w:rsid w:val="00F460FF"/>
    <w:rsid w:val="00F9166A"/>
    <w:rsid w:val="00F97BE3"/>
    <w:rsid w:val="00FC6B36"/>
    <w:rsid w:val="00FE2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 w:type="table" w:styleId="a7">
    <w:name w:val="Table Grid"/>
    <w:basedOn w:val="a1"/>
    <w:uiPriority w:val="59"/>
    <w:rsid w:val="00661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73FB-F0F0-4F5F-B129-514DB763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16</cp:revision>
  <dcterms:created xsi:type="dcterms:W3CDTF">2012-12-11T05:44:00Z</dcterms:created>
  <dcterms:modified xsi:type="dcterms:W3CDTF">2012-12-13T06:02:00Z</dcterms:modified>
</cp:coreProperties>
</file>